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9"/>
        <w:tblW w:w="9889" w:type="dxa"/>
        <w:tblInd w:w="0" w:type="dxa"/>
        <w:tblLayout w:type="fixed"/>
        <w:tblLook w:firstRow="1" w:lastRow="0" w:firstColumn="1" w:lastColumn="0" w:noHBand="0" w:noVBand="1" w:val="04A0"/>
      </w:tblPr>
      <w:tblGrid>
        <w:gridCol w:w="3278"/>
        <w:gridCol w:w="3279"/>
        <w:gridCol w:w="3332"/>
      </w:tblGrid>
      <w:tr>
        <w:trPr/>
        <w:tc>
          <w:tcPr>
            <w:tcW w:w="98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指定権者記載欄</w:t>
            </w:r>
          </w:p>
        </w:tc>
      </w:tr>
      <w:tr>
        <w:trPr/>
        <w:tc>
          <w:tcPr>
            <w:tcW w:w="327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27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r>
        <w:trPr/>
        <w:tc>
          <w:tcPr>
            <w:tcW w:w="327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c>
          <w:tcPr>
            <w:tcW w:w="3279" w:type="dxa"/>
            <w:vAlign w:val="top"/>
          </w:tcPr>
          <w:p>
            <w:pPr>
              <w:pStyle w:val="0"/>
              <w:rPr>
                <w:rFonts w:hint="eastAsia" w:ascii="ＭＳ ゴシック" w:hAnsi="ＭＳ ゴシック" w:eastAsia="ＭＳ ゴシック"/>
                <w:sz w:val="18"/>
              </w:rPr>
            </w:pPr>
          </w:p>
        </w:tc>
        <w:tc>
          <w:tcPr>
            <w:tcW w:w="3332" w:type="dxa"/>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様式第５－（ロ）－③</w:t>
      </w:r>
    </w:p>
    <w:tbl>
      <w:tblPr>
        <w:tblStyle w:val="29"/>
        <w:tblW w:w="9889" w:type="dxa"/>
        <w:tblInd w:w="0" w:type="dxa"/>
        <w:tblLayout w:type="fixed"/>
        <w:tblLook w:firstRow="1" w:lastRow="0" w:firstColumn="1" w:lastColumn="0" w:noHBand="0" w:noVBand="1" w:val="04A0"/>
      </w:tblPr>
      <w:tblGrid>
        <w:gridCol w:w="9889"/>
      </w:tblGrid>
      <w:tr>
        <w:trPr/>
        <w:tc>
          <w:tcPr>
            <w:tcW w:w="9889" w:type="dxa"/>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中小企業信用保険法第２条第４項第５号の規定による認定申請書（ロ－③）</w:t>
            </w:r>
          </w:p>
          <w:p>
            <w:pPr>
              <w:pStyle w:val="0"/>
              <w:wordWrap w:val="0"/>
              <w:jc w:val="right"/>
              <w:rPr>
                <w:rFonts w:hint="eastAsia" w:ascii="ＭＳ ゴシック" w:hAnsi="ＭＳ ゴシック" w:eastAsia="ＭＳ ゴシック"/>
                <w:sz w:val="18"/>
              </w:rPr>
            </w:pPr>
            <w:r>
              <w:rPr>
                <w:rFonts w:hint="eastAsia" w:ascii="ＭＳ ゴシック" w:hAnsi="ＭＳ ゴシック" w:eastAsia="ＭＳ ゴシック"/>
                <w:sz w:val="18"/>
              </w:rPr>
              <w:t>　　　年　　　月　　　日　</w:t>
            </w:r>
          </w:p>
          <w:p>
            <w:pPr>
              <w:pStyle w:val="0"/>
              <w:pBdr>
                <w:top w:val="none" w:color="auto" w:sz="0" w:space="0"/>
                <w:left w:val="none" w:color="auto" w:sz="0" w:space="0"/>
                <w:bottom w:val="none" w:color="auto" w:sz="0" w:space="0"/>
                <w:right w:val="none" w:color="auto" w:sz="0" w:space="0"/>
              </w:pBdr>
              <w:ind w:firstLine="173" w:firstLineChars="100"/>
              <w:jc w:val="left"/>
              <w:rPr>
                <w:rFonts w:hint="eastAsia" w:ascii="ＭＳ ゴシック" w:hAnsi="ＭＳ ゴシック" w:eastAsia="ＭＳ ゴシック"/>
                <w:sz w:val="18"/>
              </w:rPr>
            </w:pPr>
            <w:r>
              <w:rPr>
                <w:rFonts w:hint="eastAsia" w:ascii="ＭＳ ゴシック" w:hAnsi="ＭＳ ゴシック" w:eastAsia="ＭＳ ゴシック"/>
                <w:spacing w:val="5"/>
                <w:sz w:val="18"/>
              </w:rPr>
              <w:t>五所川原市長</w:t>
            </w:r>
            <w:r>
              <w:rPr>
                <w:rFonts w:hint="eastAsia" w:ascii="ＭＳ ゴシック" w:hAnsi="ＭＳ ゴシック" w:eastAsia="ＭＳ ゴシック"/>
                <w:sz w:val="18"/>
              </w:rPr>
              <w:t>　殿</w:t>
            </w:r>
          </w:p>
          <w:p>
            <w:pPr>
              <w:pStyle w:val="0"/>
              <w:wordWrap w:val="0"/>
              <w:ind w:right="3" w:rightChars="0"/>
              <w:jc w:val="right"/>
              <w:rPr>
                <w:rFonts w:hint="eastAsia" w:ascii="ＭＳ ゴシック" w:hAnsi="ＭＳ ゴシック" w:eastAsia="ＭＳ ゴシック"/>
                <w:sz w:val="18"/>
              </w:rPr>
            </w:pPr>
            <w:r>
              <w:rPr>
                <w:rFonts w:hint="eastAsia" w:ascii="ＭＳ ゴシック" w:hAnsi="ＭＳ ゴシック" w:eastAsia="ＭＳ ゴシック"/>
                <w:sz w:val="18"/>
              </w:rPr>
              <w:t>申請者</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p>
          <w:p>
            <w:pPr>
              <w:pStyle w:val="0"/>
              <w:wordWrap w:val="0"/>
              <w:ind w:right="3" w:rightChars="0"/>
              <w:jc w:val="right"/>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住　所　　　　　　　　　　　　　　　　</w:t>
            </w:r>
          </w:p>
          <w:p>
            <w:pPr>
              <w:pStyle w:val="0"/>
              <w:wordWrap w:val="0"/>
              <w:ind w:right="3" w:rightChars="0"/>
              <w:jc w:val="right"/>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pBdr>
                <w:top w:val="none" w:color="auto" w:sz="0" w:space="0"/>
                <w:left w:val="none" w:color="auto" w:sz="0" w:space="0"/>
                <w:bottom w:val="none" w:color="auto" w:sz="0" w:space="0"/>
                <w:right w:val="none" w:color="auto" w:sz="0" w:space="0"/>
              </w:pBdr>
              <w:spacing w:line="120" w:lineRule="exact"/>
              <w:jc w:val="left"/>
              <w:rPr>
                <w:rFonts w:hint="eastAsia" w:ascii="ＭＳ ゴシック" w:hAnsi="ＭＳ ゴシック" w:eastAsia="ＭＳ ゴシック"/>
                <w:sz w:val="18"/>
              </w:rPr>
            </w:pPr>
          </w:p>
          <w:p>
            <w:pPr>
              <w:pStyle w:val="0"/>
              <w:pBdr>
                <w:top w:val="none" w:color="auto" w:sz="0" w:space="0"/>
                <w:left w:val="none" w:color="auto" w:sz="0" w:space="0"/>
                <w:bottom w:val="none" w:color="auto" w:sz="0" w:space="0"/>
                <w:right w:val="none" w:color="auto" w:sz="0" w:space="0"/>
              </w:pBdr>
              <w:spacing w:line="240" w:lineRule="exact"/>
              <w:ind w:firstLine="163" w:firstLineChars="100"/>
              <w:jc w:val="left"/>
              <w:rPr>
                <w:rFonts w:hint="eastAsia" w:ascii="ＭＳ ゴシック" w:hAnsi="ＭＳ ゴシック" w:eastAsia="ＭＳ ゴシック"/>
                <w:sz w:val="18"/>
              </w:rPr>
            </w:pPr>
            <w:r>
              <w:rPr>
                <w:rFonts w:hint="eastAsia" w:ascii="ＭＳ ゴシック" w:hAnsi="ＭＳ ゴシック" w:eastAsia="ＭＳ ゴシック"/>
                <w:sz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pPr>
              <w:pStyle w:val="17"/>
              <w:jc w:val="left"/>
              <w:rPr>
                <w:rFonts w:hint="eastAsia" w:ascii="ＭＳ ゴシック" w:hAnsi="ＭＳ ゴシック" w:eastAsia="ＭＳ ゴシック"/>
                <w:sz w:val="18"/>
              </w:rPr>
            </w:pPr>
            <w:r>
              <w:rPr>
                <w:rFonts w:hint="eastAsia" w:ascii="ＭＳ ゴシック" w:hAnsi="ＭＳ ゴシック" w:eastAsia="ＭＳ ゴシック"/>
                <w:sz w:val="18"/>
              </w:rPr>
              <w:t>（表）</w:t>
            </w:r>
          </w:p>
          <w:tbl>
            <w:tblPr>
              <w:tblStyle w:val="29"/>
              <w:tblW w:w="9616" w:type="dxa"/>
              <w:tblInd w:w="0" w:type="dxa"/>
              <w:tblLayout w:type="fixed"/>
              <w:tblLook w:firstRow="1" w:lastRow="0" w:firstColumn="1" w:lastColumn="0" w:noHBand="0" w:noVBand="1" w:val="04A0"/>
            </w:tblPr>
            <w:tblGrid>
              <w:gridCol w:w="3205"/>
              <w:gridCol w:w="3205"/>
              <w:gridCol w:w="3206"/>
            </w:tblGrid>
            <w:tr>
              <w:trPr/>
              <w:tc>
                <w:tcPr>
                  <w:tcW w:w="320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17"/>
                    <w:jc w:val="left"/>
                    <w:rPr>
                      <w:rFonts w:hint="eastAsia" w:ascii="ＭＳ ゴシック" w:hAnsi="ＭＳ ゴシック" w:eastAsia="ＭＳ ゴシック"/>
                      <w:sz w:val="18"/>
                    </w:rPr>
                  </w:pPr>
                </w:p>
              </w:tc>
              <w:tc>
                <w:tcPr>
                  <w:tcW w:w="320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17"/>
                    <w:jc w:val="left"/>
                    <w:rPr>
                      <w:rFonts w:hint="eastAsia" w:ascii="ＭＳ ゴシック" w:hAnsi="ＭＳ ゴシック" w:eastAsia="ＭＳ ゴシック"/>
                      <w:sz w:val="18"/>
                    </w:rPr>
                  </w:pPr>
                </w:p>
              </w:tc>
              <w:tc>
                <w:tcPr>
                  <w:tcW w:w="3206" w:type="dxa"/>
                  <w:vAlign w:val="top"/>
                </w:tcPr>
                <w:p>
                  <w:pPr>
                    <w:pStyle w:val="17"/>
                    <w:jc w:val="left"/>
                    <w:rPr>
                      <w:rFonts w:hint="eastAsia" w:ascii="ＭＳ ゴシック" w:hAnsi="ＭＳ ゴシック" w:eastAsia="ＭＳ ゴシック"/>
                      <w:sz w:val="18"/>
                    </w:rPr>
                  </w:pPr>
                </w:p>
              </w:tc>
            </w:tr>
            <w:tr>
              <w:trPr/>
              <w:tc>
                <w:tcPr>
                  <w:tcW w:w="320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17"/>
                    <w:jc w:val="left"/>
                    <w:rPr>
                      <w:rFonts w:hint="eastAsia" w:ascii="ＭＳ ゴシック" w:hAnsi="ＭＳ ゴシック" w:eastAsia="ＭＳ ゴシック"/>
                      <w:sz w:val="18"/>
                    </w:rPr>
                  </w:pPr>
                </w:p>
              </w:tc>
              <w:tc>
                <w:tcPr>
                  <w:tcW w:w="3205" w:type="dxa"/>
                  <w:vAlign w:val="top"/>
                </w:tcPr>
                <w:p>
                  <w:pPr>
                    <w:pStyle w:val="17"/>
                    <w:jc w:val="left"/>
                    <w:rPr>
                      <w:rFonts w:hint="eastAsia" w:ascii="ＭＳ ゴシック" w:hAnsi="ＭＳ ゴシック" w:eastAsia="ＭＳ ゴシック"/>
                      <w:sz w:val="18"/>
                    </w:rPr>
                  </w:pPr>
                </w:p>
              </w:tc>
              <w:tc>
                <w:tcPr>
                  <w:tcW w:w="3206" w:type="dxa"/>
                  <w:vAlign w:val="top"/>
                </w:tcPr>
                <w:p>
                  <w:pPr>
                    <w:pStyle w:val="17"/>
                    <w:jc w:val="left"/>
                    <w:rPr>
                      <w:rFonts w:hint="eastAsia" w:ascii="ＭＳ ゴシック" w:hAnsi="ＭＳ ゴシック" w:eastAsia="ＭＳ ゴシック"/>
                      <w:sz w:val="18"/>
                    </w:rPr>
                  </w:pPr>
                </w:p>
              </w:tc>
            </w:tr>
          </w:tbl>
          <w:p>
            <w:pPr>
              <w:pStyle w:val="0"/>
              <w:pBdr>
                <w:top w:val="none" w:color="auto" w:sz="0" w:space="0"/>
                <w:left w:val="none" w:color="auto" w:sz="0" w:space="0"/>
                <w:bottom w:val="none" w:color="auto" w:sz="0" w:space="0"/>
                <w:right w:val="none" w:color="auto" w:sz="0" w:space="0"/>
              </w:pBdr>
              <w:spacing w:line="180" w:lineRule="exact"/>
              <w:rPr>
                <w:rFonts w:hint="eastAsia" w:ascii="ＭＳ ゴシック" w:hAnsi="ＭＳ ゴシック" w:eastAsia="ＭＳ ゴシック"/>
                <w:sz w:val="16"/>
              </w:rPr>
            </w:pPr>
            <w:r>
              <w:rPr>
                <w:rFonts w:hint="eastAsia" w:ascii="ＭＳ ゴシック" w:hAnsi="ＭＳ ゴシック" w:eastAsia="ＭＳ ゴシック"/>
                <w:sz w:val="16"/>
              </w:rPr>
              <w:t>※表には、指定業種であって、原油等の価格の上昇を製品等の価格に転嫁できていない事業が属する業種</w:t>
            </w: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日本標準産業分類の細分類番号と細分類業種名</w:t>
            </w:r>
            <w:r>
              <w:rPr>
                <w:rFonts w:hint="eastAsia" w:ascii="ＭＳ ゴシック" w:hAnsi="ＭＳ ゴシック" w:eastAsia="ＭＳ ゴシック"/>
                <w:sz w:val="16"/>
              </w:rPr>
              <w:t>)</w:t>
            </w:r>
            <w:r>
              <w:rPr>
                <w:rFonts w:hint="eastAsia" w:ascii="ＭＳ ゴシック" w:hAnsi="ＭＳ ゴシック" w:eastAsia="ＭＳ ゴシック"/>
                <w:sz w:val="16"/>
              </w:rPr>
              <w:t>を記載。当該指定業種が複数ある場合には、その中で、最近１年間で最も売上高等が大きい事業が属する指定業種を左上の太枠に記載。</w:t>
            </w:r>
          </w:p>
          <w:p>
            <w:pPr>
              <w:pStyle w:val="0"/>
              <w:spacing w:line="120" w:lineRule="exact"/>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記</w:t>
            </w:r>
          </w:p>
          <w:p>
            <w:pPr>
              <w:pStyle w:val="0"/>
              <w:spacing w:line="120" w:lineRule="exact"/>
              <w:rPr>
                <w:rFonts w:hint="eastAsia" w:ascii="ＭＳ ゴシック" w:hAnsi="ＭＳ ゴシック" w:eastAsia="ＭＳ ゴシック"/>
                <w:sz w:val="20"/>
              </w:rPr>
            </w:pP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①上記の表に記載した指定業種（以下同じ。）に係る原油等の仕入単価の上昇</w:t>
            </w:r>
          </w:p>
          <w:p>
            <w:pPr>
              <w:pStyle w:val="0"/>
              <w:pBdr>
                <w:top w:val="none" w:color="auto" w:sz="0" w:space="0"/>
                <w:left w:val="none" w:color="auto" w:sz="0" w:space="0"/>
                <w:bottom w:val="none" w:color="auto" w:sz="0" w:space="0"/>
                <w:right w:val="none" w:color="auto" w:sz="0" w:space="0"/>
              </w:pBdr>
              <w:jc w:val="right"/>
              <w:rPr>
                <w:rFonts w:hint="eastAsia" w:ascii="ＭＳ ゴシック" w:hAnsi="ＭＳ ゴシック" w:eastAsia="ＭＳ ゴシック"/>
                <w:sz w:val="18"/>
              </w:rPr>
            </w:pPr>
            <w:r>
              <w:rPr>
                <w:rFonts w:hint="default" w:asciiTheme="minorEastAsia" w:hAnsiTheme="minorEastAsia"/>
                <w:sz w:val="18"/>
              </w:rPr>
              <w:pict>
                <v:rect id="_x0000_s1026" style="margin-top:0.1pt;mso-position-vertical-relative:text;mso-position-horizontal-relative:text;position:absolute;height:27pt;width:108pt;margin-left:55.75pt;z-index:2;"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Ｅ</m:t>
                                </m:r>
                              </m:num>
                              <m:den>
                                <m:r>
                                  <m:rPr>
                                    <m:sty m:val="p"/>
                                  </m:rPr>
                                  <w:rPr>
                                    <w:rFonts w:ascii="Cambria Math" w:hAnsi="Cambria Math" w:hint="eastAsia"/>
                                    <w:sz w:val="18"/>
                                    <w:szCs w:val="18"/>
                                  </w:rPr>
                                  <m:t>ｅ</m:t>
                                </m:r>
                              </m:den>
                            </m:f>
                            <m:r>
                              <m:rPr>
                                <m:sty m:val="p"/>
                              </m:rPr>
                              <w:rPr>
                                <w:rFonts w:ascii="Cambria Math" w:hAnsi="Cambria Math"/>
                                <w:sz w:val="18"/>
                                <w:szCs w:val="18"/>
                              </w:rPr>
                              <m:t>×</m:t>
                            </m:r>
                            <m:r>
                              <m:rPr>
                                <m:sty m:val="p"/>
                              </m:rPr>
                              <w:rPr>
                                <w:rFonts w:ascii="Cambria Math" w:hAnsi="Cambria Math" w:hint="eastAsia"/>
                                <w:sz w:val="18"/>
                                <w:szCs w:val="18"/>
                              </w:rPr>
                              <m:t>１００</m:t>
                            </m:r>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w:r>
          </w:p>
          <w:p>
            <w:pPr>
              <w:pStyle w:val="0"/>
              <w:pBdr>
                <w:top w:val="none" w:color="auto" w:sz="0" w:space="0"/>
                <w:left w:val="none" w:color="auto" w:sz="0" w:space="0"/>
                <w:bottom w:val="none" w:color="auto" w:sz="0" w:space="0"/>
                <w:right w:val="none" w:color="auto" w:sz="0" w:space="0"/>
              </w:pBdr>
              <w:ind w:right="652" w:firstLine="5067" w:firstLineChars="3113"/>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上昇率　　　　　　　　　　　％</w:t>
            </w:r>
          </w:p>
          <w:p>
            <w:pPr>
              <w:pStyle w:val="0"/>
              <w:pBdr>
                <w:top w:val="none" w:color="auto" w:sz="0" w:space="0"/>
                <w:left w:val="none" w:color="auto" w:sz="0" w:space="0"/>
                <w:bottom w:val="none" w:color="auto" w:sz="0" w:space="0"/>
                <w:right w:val="none" w:color="auto" w:sz="0" w:space="0"/>
              </w:pBdr>
              <w:spacing w:line="240" w:lineRule="exact"/>
              <w:jc w:val="right"/>
              <w:rPr>
                <w:rFonts w:hint="eastAsia" w:ascii="ＭＳ ゴシック" w:hAnsi="ＭＳ ゴシック" w:eastAsia="ＭＳ ゴシック"/>
                <w:sz w:val="18"/>
                <w:u w:val="single" w:color="auto"/>
              </w:rPr>
            </w:pPr>
            <w:r>
              <w:rPr>
                <w:rFonts w:hint="eastAsia" w:ascii="ＭＳ ゴシック" w:hAnsi="ＭＳ ゴシック" w:eastAsia="ＭＳ ゴシック"/>
                <w:sz w:val="18"/>
              </w:rPr>
              <w:t>Ｅ</w:t>
            </w:r>
            <w:r>
              <w:rPr>
                <w:rFonts w:hint="eastAsia" w:ascii="ＭＳ ゴシック" w:hAnsi="ＭＳ ゴシック" w:eastAsia="ＭＳ ゴシック"/>
                <w:sz w:val="18"/>
              </w:rPr>
              <w:t>:</w:t>
            </w:r>
            <w:r>
              <w:rPr>
                <w:rFonts w:hint="eastAsia" w:ascii="ＭＳ ゴシック" w:hAnsi="ＭＳ ゴシック" w:eastAsia="ＭＳ ゴシック"/>
                <w:sz w:val="18"/>
              </w:rPr>
              <w:t>指定業種に係る原油等の最近１か月間における平均仕入れ単価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u w:val="single" w:color="auto"/>
              </w:rPr>
            </w:pPr>
            <w:r>
              <w:rPr>
                <w:rFonts w:hint="eastAsia" w:ascii="ＭＳ ゴシック" w:hAnsi="ＭＳ ゴシック" w:eastAsia="ＭＳ ゴシック"/>
                <w:sz w:val="18"/>
              </w:rPr>
              <w:t>ｅ</w:t>
            </w:r>
            <w:r>
              <w:rPr>
                <w:rFonts w:hint="eastAsia" w:ascii="ＭＳ ゴシック" w:hAnsi="ＭＳ ゴシック" w:eastAsia="ＭＳ ゴシック"/>
                <w:sz w:val="18"/>
              </w:rPr>
              <w:t>:</w:t>
            </w:r>
            <w:r>
              <w:rPr>
                <w:rFonts w:hint="eastAsia" w:ascii="ＭＳ ゴシック" w:hAnsi="ＭＳ ゴシック" w:eastAsia="ＭＳ ゴシック"/>
                <w:sz w:val="18"/>
              </w:rPr>
              <w:t>指定業種に係るＥの期間に対応する前年１か月間の平均仕入れ単価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②全体の売上原価のうち指定業種に係る原油等の仕入価格が占める割合</w:t>
            </w:r>
          </w:p>
          <w:p>
            <w:pPr>
              <w:pStyle w:val="0"/>
              <w:pBdr>
                <w:top w:val="none" w:color="auto" w:sz="0" w:space="0"/>
                <w:left w:val="none" w:color="auto" w:sz="0" w:space="0"/>
                <w:bottom w:val="none" w:color="auto" w:sz="0" w:space="0"/>
                <w:right w:val="none" w:color="auto" w:sz="0" w:space="0"/>
              </w:pBdr>
              <w:wordWrap w:val="0"/>
              <w:ind w:right="-533"/>
              <w:jc w:val="right"/>
              <w:rPr>
                <w:rFonts w:hint="eastAsia" w:ascii="ＭＳ ゴシック" w:hAnsi="ＭＳ ゴシック" w:eastAsia="ＭＳ ゴシック"/>
                <w:sz w:val="18"/>
              </w:rPr>
            </w:pPr>
            <w:r>
              <w:rPr>
                <w:rFonts w:hint="default" w:asciiTheme="minorEastAsia" w:hAnsiTheme="minorEastAsia"/>
                <w:sz w:val="18"/>
              </w:rPr>
              <w:pict>
                <v:rect id="_x0000_s1027" style="margin-top:0.1pt;mso-position-vertical-relative:text;mso-position-horizontal-relative:text;position:absolute;height:27pt;width:108pt;margin-left:55.75pt;z-index:3;"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Ｓ</m:t>
                                </m:r>
                              </m:num>
                              <m:den>
                                <m:r>
                                  <m:rPr>
                                    <m:sty m:val="p"/>
                                  </m:rPr>
                                  <w:rPr>
                                    <w:rFonts w:ascii="Cambria Math" w:hAnsi="Cambria Math" w:hint="eastAsia"/>
                                    <w:sz w:val="18"/>
                                    <w:szCs w:val="18"/>
                                  </w:rPr>
                                  <m:t>Ｃ</m:t>
                                </m:r>
                              </m:den>
                            </m:f>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w:r>
          </w:p>
          <w:p>
            <w:pPr>
              <w:pStyle w:val="0"/>
              <w:pBdr>
                <w:top w:val="none" w:color="auto" w:sz="0" w:space="0"/>
                <w:left w:val="none" w:color="auto" w:sz="0" w:space="0"/>
                <w:bottom w:val="none" w:color="auto" w:sz="0" w:space="0"/>
                <w:right w:val="none" w:color="auto" w:sz="0" w:space="0"/>
              </w:pBdr>
              <w:ind w:firstLine="5158" w:firstLineChars="3169"/>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依存率　　　　　　　　　　　　　　　　　％</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u w:val="single" w:color="auto"/>
              </w:rPr>
            </w:pPr>
            <w:r>
              <w:rPr>
                <w:rFonts w:hint="eastAsia" w:ascii="ＭＳ ゴシック" w:hAnsi="ＭＳ ゴシック" w:eastAsia="ＭＳ ゴシック"/>
                <w:sz w:val="18"/>
              </w:rPr>
              <w:t>Ｃ</w:t>
            </w:r>
            <w:r>
              <w:rPr>
                <w:rFonts w:hint="eastAsia" w:ascii="ＭＳ ゴシック" w:hAnsi="ＭＳ ゴシック" w:eastAsia="ＭＳ ゴシック"/>
                <w:sz w:val="18"/>
              </w:rPr>
              <w:t>:</w:t>
            </w:r>
            <w:r>
              <w:rPr>
                <w:rFonts w:hint="eastAsia" w:ascii="ＭＳ ゴシック" w:hAnsi="ＭＳ ゴシック" w:eastAsia="ＭＳ ゴシック"/>
                <w:sz w:val="18"/>
              </w:rPr>
              <w:t>申込時点における最新の全体の売上原価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Ｓ</w:t>
            </w:r>
            <w:r>
              <w:rPr>
                <w:rFonts w:hint="eastAsia" w:ascii="ＭＳ ゴシック" w:hAnsi="ＭＳ ゴシック" w:eastAsia="ＭＳ ゴシック"/>
                <w:sz w:val="18"/>
              </w:rPr>
              <w:t>:</w:t>
            </w:r>
            <w:r>
              <w:rPr>
                <w:rFonts w:hint="eastAsia" w:ascii="ＭＳ ゴシック" w:hAnsi="ＭＳ ゴシック" w:eastAsia="ＭＳ ゴシック"/>
                <w:sz w:val="18"/>
              </w:rPr>
              <w:t>Ｃの売上原価に対応する指定業種に係る原油等の仕入単価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③－１　指定業種に係る製品等価格への転嫁の状況（注２）</w:t>
            </w:r>
          </w:p>
          <w:p>
            <w:pPr>
              <w:pStyle w:val="0"/>
              <w:pBdr>
                <w:top w:val="none" w:color="auto" w:sz="0" w:space="0"/>
                <w:left w:val="none" w:color="auto" w:sz="0" w:space="0"/>
                <w:bottom w:val="none" w:color="auto" w:sz="0" w:space="0"/>
                <w:right w:val="none" w:color="auto" w:sz="0" w:space="0"/>
              </w:pBdr>
              <w:wordWrap w:val="0"/>
              <w:jc w:val="right"/>
              <w:rPr>
                <w:rFonts w:hint="eastAsia" w:ascii="ＭＳ ゴシック" w:hAnsi="ＭＳ ゴシック" w:eastAsia="ＭＳ ゴシック"/>
                <w:sz w:val="18"/>
              </w:rPr>
            </w:pPr>
            <w:r>
              <w:rPr>
                <w:rFonts w:hint="default" w:asciiTheme="minorEastAsia" w:hAnsiTheme="minorEastAsia"/>
                <w:sz w:val="18"/>
              </w:rPr>
              <w:pict>
                <v:rect id="_x0000_s1028" style="margin-top:0.1pt;mso-position-vertical-relative:text;mso-position-horizontal-relative:text;position:absolute;height:27pt;width:108pt;margin-left:55.75pt;z-index:4;"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Ａ１</m:t>
                                </m:r>
                              </m:num>
                              <m:den>
                                <m:r>
                                  <m:rPr>
                                    <m:sty m:val="p"/>
                                  </m:rPr>
                                  <w:rPr>
                                    <w:rFonts w:ascii="Cambria Math" w:hAnsi="Cambria Math" w:hint="eastAsia"/>
                                    <w:sz w:val="18"/>
                                    <w:szCs w:val="18"/>
                                  </w:rPr>
                                  <m:t>Ｂ１</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hint="eastAsia"/>
                                    <w:sz w:val="18"/>
                                    <w:szCs w:val="18"/>
                                  </w:rPr>
                                  <m:t>ａ１</m:t>
                                </m:r>
                              </m:num>
                              <m:den>
                                <m:r>
                                  <m:rPr>
                                    <m:sty m:val="p"/>
                                  </m:rPr>
                                  <w:rPr>
                                    <w:rFonts w:ascii="Cambria Math" w:hAnsi="Cambria Math" w:hint="eastAsia"/>
                                    <w:sz w:val="18"/>
                                    <w:szCs w:val="18"/>
                                  </w:rPr>
                                  <m:t>ｂ１</m:t>
                                </m:r>
                              </m:den>
                            </m:f>
                            <m:r>
                              <m:rPr>
                                <m:sty m:val="p"/>
                              </m:rPr>
                              <w:rPr>
                                <w:rFonts w:ascii="Cambria Math" w:hAnsi="Cambria Math" w:hint="eastAsia"/>
                                <w:sz w:val="18"/>
                                <w:szCs w:val="18"/>
                              </w:rPr>
                              <m:t>＝Ｐ１</m:t>
                            </m:r>
                          </m:oMath>
                        </m:oMathPara>
                      </w:p>
                    </w:txbxContent>
                  </v:textbox>
                  <v:imagedata o:title=""/>
                  <w10:wrap type="none" anchorx="text" anchory="text"/>
                </v:rect>
              </w:pict>
            </w:r>
          </w:p>
          <w:p>
            <w:pPr>
              <w:pStyle w:val="0"/>
              <w:pBdr>
                <w:top w:val="none" w:color="auto" w:sz="0" w:space="0"/>
                <w:left w:val="none" w:color="auto" w:sz="0" w:space="0"/>
                <w:bottom w:val="none" w:color="auto" w:sz="0" w:space="0"/>
                <w:right w:val="none" w:color="auto" w:sz="0" w:space="0"/>
              </w:pBdr>
              <w:wordWrap w:val="0"/>
              <w:ind w:right="-108" w:firstLine="5085" w:firstLineChars="3124"/>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Ｐ１＝　　　　　　　　　　　　</w:t>
            </w:r>
          </w:p>
          <w:p>
            <w:pPr>
              <w:pStyle w:val="0"/>
              <w:pBdr>
                <w:top w:val="none" w:color="auto" w:sz="0" w:space="0"/>
                <w:left w:val="none" w:color="auto" w:sz="0" w:space="0"/>
                <w:bottom w:val="none" w:color="auto" w:sz="0" w:space="0"/>
                <w:right w:val="none" w:color="auto" w:sz="0" w:space="0"/>
              </w:pBdr>
              <w:tabs>
                <w:tab w:val="left" w:leader="none" w:pos="9673"/>
              </w:tabs>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Ａ１</w:t>
            </w:r>
            <w:r>
              <w:rPr>
                <w:rFonts w:hint="eastAsia" w:ascii="ＭＳ ゴシック" w:hAnsi="ＭＳ ゴシック" w:eastAsia="ＭＳ ゴシック"/>
                <w:sz w:val="18"/>
              </w:rPr>
              <w:t>:</w:t>
            </w:r>
            <w:r>
              <w:rPr>
                <w:rFonts w:hint="eastAsia" w:ascii="ＭＳ ゴシック" w:hAnsi="ＭＳ ゴシック" w:eastAsia="ＭＳ ゴシック"/>
                <w:sz w:val="18"/>
              </w:rPr>
              <w:t>申込時点における最近３か月間の指定業種に係る原油等の仕入価格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ａ１</w:t>
            </w:r>
            <w:r>
              <w:rPr>
                <w:rFonts w:hint="eastAsia" w:ascii="ＭＳ ゴシック" w:hAnsi="ＭＳ ゴシック" w:eastAsia="ＭＳ ゴシック"/>
                <w:sz w:val="18"/>
              </w:rPr>
              <w:t>:</w:t>
            </w:r>
            <w:r>
              <w:rPr>
                <w:rFonts w:hint="eastAsia" w:ascii="ＭＳ ゴシック" w:hAnsi="ＭＳ ゴシック" w:eastAsia="ＭＳ ゴシック"/>
                <w:sz w:val="18"/>
              </w:rPr>
              <w:t>Ａ１の期間に対応する前年３か月間の指定業種に係る原油等の仕入価格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Ｂ１</w:t>
            </w:r>
            <w:r>
              <w:rPr>
                <w:rFonts w:hint="eastAsia" w:ascii="ＭＳ ゴシック" w:hAnsi="ＭＳ ゴシック" w:eastAsia="ＭＳ ゴシック"/>
                <w:sz w:val="18"/>
              </w:rPr>
              <w:t>:</w:t>
            </w:r>
            <w:r>
              <w:rPr>
                <w:rFonts w:hint="eastAsia" w:ascii="ＭＳ ゴシック" w:hAnsi="ＭＳ ゴシック" w:eastAsia="ＭＳ ゴシック"/>
                <w:sz w:val="18"/>
              </w:rPr>
              <w:t>申込時点における最近３か月間の指定業種に係る売上高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ｂ１</w:t>
            </w:r>
            <w:r>
              <w:rPr>
                <w:rFonts w:hint="eastAsia" w:ascii="ＭＳ ゴシック" w:hAnsi="ＭＳ ゴシック" w:eastAsia="ＭＳ ゴシック"/>
                <w:sz w:val="18"/>
              </w:rPr>
              <w:t>:</w:t>
            </w:r>
            <w:r>
              <w:rPr>
                <w:rFonts w:hint="eastAsia" w:ascii="ＭＳ ゴシック" w:hAnsi="ＭＳ ゴシック" w:eastAsia="ＭＳ ゴシック"/>
                <w:sz w:val="18"/>
              </w:rPr>
              <w:t>Ｂ１の期間に対応する前年３か月間の指定業種に係る売上高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③－２　全体に係る製品等価格への転嫁の状況（注２）</w:t>
            </w:r>
          </w:p>
          <w:p>
            <w:pPr>
              <w:pStyle w:val="0"/>
              <w:pBdr>
                <w:top w:val="none" w:color="auto" w:sz="0" w:space="0"/>
                <w:left w:val="none" w:color="auto" w:sz="0" w:space="0"/>
                <w:bottom w:val="none" w:color="auto" w:sz="0" w:space="0"/>
                <w:right w:val="none" w:color="auto" w:sz="0" w:space="0"/>
              </w:pBdr>
              <w:wordWrap w:val="0"/>
              <w:jc w:val="right"/>
              <w:rPr>
                <w:rFonts w:hint="eastAsia" w:ascii="ＭＳ ゴシック" w:hAnsi="ＭＳ ゴシック" w:eastAsia="ＭＳ ゴシック"/>
                <w:sz w:val="18"/>
              </w:rPr>
            </w:pPr>
            <w:r>
              <w:rPr>
                <w:rFonts w:hint="default" w:asciiTheme="minorEastAsia" w:hAnsiTheme="minorEastAsia"/>
                <w:sz w:val="18"/>
              </w:rPr>
              <w:pict>
                <v:rect id="_x0000_s1029" style="margin-top:0.1pt;mso-position-vertical-relative:text;mso-position-horizontal-relative:text;position:absolute;height:27pt;width:108pt;margin-left:55.75pt;z-index:5;" filled="t" stroked="f" o:spt="1">
                  <v:fill/>
                  <v:textbox style="layout-flow:horizontal;" inset="2.0637499999999998mm,0.24694444444444438mm,2.0637499999999998mm,0.24694444444444438mm">
                    <w:txbxContent>
                      <w:p>
                        <w:pPr>
                          <w:pStyle w:val="0"/>
                          <w:rPr>
                            <w:rFonts w:hint="default"/>
                            <w:sz w:val="18"/>
                          </w:rPr>
                        </w:pPr>
                        <m:oMathPara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Ａ１</m:t>
                                </m:r>
                              </m:num>
                              <m:den>
                                <m:r>
                                  <m:rPr>
                                    <m:sty m:val="p"/>
                                  </m:rPr>
                                  <w:rPr>
                                    <w:rFonts w:ascii="Cambria Math" w:hAnsi="Cambria Math" w:hint="eastAsia"/>
                                    <w:sz w:val="18"/>
                                    <w:szCs w:val="18"/>
                                  </w:rPr>
                                  <m:t>Ｂ２</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hint="eastAsia"/>
                                    <w:sz w:val="18"/>
                                    <w:szCs w:val="18"/>
                                  </w:rPr>
                                  <m:t>ａ１</m:t>
                                </m:r>
                              </m:num>
                              <m:den>
                                <m:r>
                                  <m:rPr>
                                    <m:sty m:val="p"/>
                                  </m:rPr>
                                  <w:rPr>
                                    <w:rFonts w:ascii="Cambria Math" w:hAnsi="Cambria Math" w:hint="eastAsia"/>
                                    <w:sz w:val="18"/>
                                    <w:szCs w:val="18"/>
                                  </w:rPr>
                                  <m:t>ｂ２</m:t>
                                </m:r>
                              </m:den>
                            </m:f>
                            <m:r>
                              <m:rPr>
                                <m:sty m:val="p"/>
                              </m:rPr>
                              <w:rPr>
                                <w:rFonts w:ascii="Cambria Math" w:hAnsi="Cambria Math" w:hint="eastAsia"/>
                                <w:sz w:val="18"/>
                                <w:szCs w:val="18"/>
                              </w:rPr>
                              <m:t>＝Ｐ２</m:t>
                            </m:r>
                          </m:oMath>
                        </m:oMathPara>
                      </w:p>
                    </w:txbxContent>
                  </v:textbox>
                  <v:imagedata o:title=""/>
                  <w10:wrap type="none" anchorx="text" anchory="text"/>
                </v:rect>
              </w:pict>
            </w:r>
          </w:p>
          <w:p>
            <w:pPr>
              <w:pStyle w:val="0"/>
              <w:pBdr>
                <w:top w:val="none" w:color="auto" w:sz="0" w:space="0"/>
                <w:left w:val="none" w:color="auto" w:sz="0" w:space="0"/>
                <w:bottom w:val="none" w:color="auto" w:sz="0" w:space="0"/>
                <w:right w:val="none" w:color="auto" w:sz="0" w:space="0"/>
              </w:pBdr>
              <w:wordWrap w:val="0"/>
              <w:ind w:right="-108" w:firstLine="5085" w:firstLineChars="3124"/>
              <w:rPr>
                <w:rFonts w:hint="eastAsia" w:ascii="ＭＳ ゴシック" w:hAnsi="ＭＳ ゴシック" w:eastAsia="ＭＳ ゴシック"/>
                <w:sz w:val="18"/>
                <w:u w:val="single" w:color="auto"/>
              </w:rPr>
            </w:pPr>
            <w:r>
              <w:rPr>
                <w:rFonts w:hint="eastAsia" w:ascii="ＭＳ ゴシック" w:hAnsi="ＭＳ ゴシック" w:eastAsia="ＭＳ ゴシック"/>
                <w:sz w:val="18"/>
                <w:u w:val="single" w:color="auto"/>
              </w:rPr>
              <w:t>Ｐ２＝　　　　　　　　　　　　</w:t>
            </w:r>
          </w:p>
          <w:p>
            <w:pPr>
              <w:pStyle w:val="0"/>
              <w:pBdr>
                <w:top w:val="none" w:color="auto" w:sz="0" w:space="0"/>
                <w:left w:val="none" w:color="auto" w:sz="0" w:space="0"/>
                <w:bottom w:val="none" w:color="auto" w:sz="0" w:space="0"/>
                <w:right w:val="none" w:color="auto" w:sz="0" w:space="0"/>
              </w:pBdr>
              <w:tabs>
                <w:tab w:val="left" w:leader="none" w:pos="9673"/>
              </w:tabs>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Ａ１</w:t>
            </w:r>
            <w:r>
              <w:rPr>
                <w:rFonts w:hint="eastAsia" w:ascii="ＭＳ ゴシック" w:hAnsi="ＭＳ ゴシック" w:eastAsia="ＭＳ ゴシック"/>
                <w:sz w:val="18"/>
              </w:rPr>
              <w:t>:</w:t>
            </w:r>
            <w:r>
              <w:rPr>
                <w:rFonts w:hint="eastAsia" w:ascii="ＭＳ ゴシック" w:hAnsi="ＭＳ ゴシック" w:eastAsia="ＭＳ ゴシック"/>
                <w:sz w:val="18"/>
              </w:rPr>
              <w:t>申込時点における最近３か月間の指定業種に係る原油等の仕入価格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ａ１</w:t>
            </w:r>
            <w:r>
              <w:rPr>
                <w:rFonts w:hint="eastAsia" w:ascii="ＭＳ ゴシック" w:hAnsi="ＭＳ ゴシック" w:eastAsia="ＭＳ ゴシック"/>
                <w:sz w:val="18"/>
              </w:rPr>
              <w:t>:</w:t>
            </w:r>
            <w:r>
              <w:rPr>
                <w:rFonts w:hint="eastAsia" w:ascii="ＭＳ ゴシック" w:hAnsi="ＭＳ ゴシック" w:eastAsia="ＭＳ ゴシック"/>
                <w:sz w:val="18"/>
              </w:rPr>
              <w:t>Ａ１の期間に対応する前年３か月間の指定業種に係る原油等の仕入価格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Ｂ２</w:t>
            </w:r>
            <w:r>
              <w:rPr>
                <w:rFonts w:hint="eastAsia" w:ascii="ＭＳ ゴシック" w:hAnsi="ＭＳ ゴシック" w:eastAsia="ＭＳ ゴシック"/>
                <w:sz w:val="18"/>
              </w:rPr>
              <w:t>:</w:t>
            </w:r>
            <w:r>
              <w:rPr>
                <w:rFonts w:hint="eastAsia" w:ascii="ＭＳ ゴシック" w:hAnsi="ＭＳ ゴシック" w:eastAsia="ＭＳ ゴシック"/>
                <w:sz w:val="18"/>
              </w:rPr>
              <w:t>申込時点における最近３か月間の全体の売上高　　　　　　　　　　　　</w:t>
            </w:r>
            <w:r>
              <w:rPr>
                <w:rFonts w:hint="eastAsia" w:ascii="ＭＳ ゴシック" w:hAnsi="ＭＳ ゴシック" w:eastAsia="ＭＳ ゴシック"/>
                <w:sz w:val="18"/>
                <w:u w:val="single" w:color="auto"/>
              </w:rPr>
              <w:t>　　　　　　　　　　　　　円</w:t>
            </w:r>
          </w:p>
          <w:p>
            <w:pPr>
              <w:pStyle w:val="0"/>
              <w:pBdr>
                <w:top w:val="none" w:color="auto" w:sz="0" w:space="0"/>
                <w:left w:val="none" w:color="auto" w:sz="0" w:space="0"/>
                <w:bottom w:val="none" w:color="auto" w:sz="0" w:space="0"/>
                <w:right w:val="none" w:color="auto" w:sz="0" w:space="0"/>
              </w:pBdr>
              <w:spacing w:line="240" w:lineRule="exact"/>
              <w:ind w:firstLine="163" w:firstLineChars="100"/>
              <w:jc w:val="right"/>
              <w:rPr>
                <w:rFonts w:hint="eastAsia" w:ascii="ＭＳ ゴシック" w:hAnsi="ＭＳ ゴシック" w:eastAsia="ＭＳ ゴシック"/>
                <w:sz w:val="18"/>
              </w:rPr>
            </w:pPr>
            <w:r>
              <w:rPr>
                <w:rFonts w:hint="eastAsia" w:ascii="ＭＳ ゴシック" w:hAnsi="ＭＳ ゴシック" w:eastAsia="ＭＳ ゴシック"/>
                <w:sz w:val="18"/>
              </w:rPr>
              <w:t>ｂ２</w:t>
            </w:r>
            <w:r>
              <w:rPr>
                <w:rFonts w:hint="eastAsia" w:ascii="ＭＳ ゴシック" w:hAnsi="ＭＳ ゴシック" w:eastAsia="ＭＳ ゴシック"/>
                <w:sz w:val="18"/>
              </w:rPr>
              <w:t>:</w:t>
            </w:r>
            <w:r>
              <w:rPr>
                <w:rFonts w:hint="eastAsia" w:ascii="ＭＳ ゴシック" w:hAnsi="ＭＳ ゴシック" w:eastAsia="ＭＳ ゴシック"/>
                <w:sz w:val="18"/>
              </w:rPr>
              <w:t>Ｂ２の期間に対応する前年３か月間の全体の売上高　　　　　　　　　　</w:t>
            </w:r>
            <w:r>
              <w:rPr>
                <w:rFonts w:hint="eastAsia" w:ascii="ＭＳ ゴシック" w:hAnsi="ＭＳ ゴシック" w:eastAsia="ＭＳ ゴシック"/>
                <w:sz w:val="18"/>
                <w:u w:val="single" w:color="auto"/>
              </w:rPr>
              <w:t>　　　　　　　　　　　　　円</w:t>
            </w:r>
          </w:p>
        </w:tc>
      </w:tr>
    </w:tbl>
    <w:p>
      <w:pPr>
        <w:pStyle w:val="0"/>
        <w:spacing w:line="180" w:lineRule="exact"/>
        <w:ind w:left="570" w:hanging="570" w:hangingChars="399"/>
        <w:rPr>
          <w:rFonts w:hint="eastAsia" w:ascii="ＭＳ ゴシック" w:hAnsi="ＭＳ ゴシック" w:eastAsia="ＭＳ ゴシック"/>
          <w:sz w:val="16"/>
        </w:rPr>
      </w:pPr>
      <w:r>
        <w:rPr>
          <w:rFonts w:hint="eastAsia" w:ascii="ＭＳ ゴシック" w:hAnsi="ＭＳ ゴシック" w:eastAsia="ＭＳ ゴシック"/>
          <w:sz w:val="16"/>
        </w:rPr>
        <w:t>（注１）本様式は、指定業種に係る原油等の仕入価格の上昇等を指定業種及び企業全体の製品等の価格に転嫁できていないことによって認定基準を満たす場合に使用する。</w:t>
      </w:r>
    </w:p>
    <w:p>
      <w:pPr>
        <w:pStyle w:val="0"/>
        <w:spacing w:line="180" w:lineRule="exact"/>
        <w:ind w:left="570" w:hanging="570" w:hangingChars="399"/>
        <w:rPr>
          <w:rFonts w:hint="eastAsia" w:ascii="ＭＳ ゴシック" w:hAnsi="ＭＳ ゴシック" w:eastAsia="ＭＳ ゴシック"/>
          <w:sz w:val="16"/>
        </w:rPr>
      </w:pPr>
      <w:r>
        <w:rPr>
          <w:rFonts w:hint="eastAsia" w:ascii="ＭＳ ゴシック" w:hAnsi="ＭＳ ゴシック" w:eastAsia="ＭＳ ゴシック"/>
          <w:sz w:val="16"/>
        </w:rPr>
        <w:t>（注２）Ｐ１＞０、かつ、Ｐ２＞０となっていること。</w:t>
      </w:r>
    </w:p>
    <w:p>
      <w:pPr>
        <w:pStyle w:val="0"/>
        <w:spacing w:line="180" w:lineRule="exact"/>
        <w:jc w:val="left"/>
        <w:rPr>
          <w:rFonts w:hint="eastAsia" w:ascii="ＭＳ ゴシック" w:hAnsi="ＭＳ ゴシック" w:eastAsia="ＭＳ ゴシック"/>
          <w:sz w:val="16"/>
        </w:rPr>
      </w:pPr>
      <w:r>
        <w:rPr>
          <w:rFonts w:hint="eastAsia" w:ascii="ＭＳ ゴシック" w:hAnsi="ＭＳ ゴシック" w:eastAsia="ＭＳ ゴシック"/>
          <w:sz w:val="16"/>
        </w:rPr>
        <w:t>（留意事項）</w:t>
      </w:r>
    </w:p>
    <w:p>
      <w:pPr>
        <w:pStyle w:val="0"/>
        <w:spacing w:line="180" w:lineRule="exact"/>
        <w:ind w:firstLine="143" w:firstLineChars="100"/>
        <w:jc w:val="left"/>
        <w:rPr>
          <w:rFonts w:hint="eastAsia" w:ascii="ＭＳ ゴシック" w:hAnsi="ＭＳ ゴシック" w:eastAsia="ＭＳ ゴシック"/>
          <w:sz w:val="16"/>
        </w:rPr>
      </w:pPr>
      <w:r>
        <w:rPr>
          <w:rFonts w:hint="eastAsia" w:ascii="ＭＳ ゴシック" w:hAnsi="ＭＳ ゴシック" w:eastAsia="ＭＳ ゴシック"/>
          <w:sz w:val="16"/>
        </w:rPr>
        <w:t>①　本認定とは別に、金融機関及び信用保証協会による金融上の審査があります。</w:t>
      </w:r>
    </w:p>
    <w:p>
      <w:pPr>
        <w:pStyle w:val="0"/>
        <w:spacing w:line="180" w:lineRule="exact"/>
        <w:ind w:left="311" w:leftChars="87" w:hanging="143" w:hangingChars="100"/>
        <w:jc w:val="left"/>
        <w:rPr>
          <w:rFonts w:hint="eastAsia" w:ascii="ＭＳ ゴシック" w:hAnsi="ＭＳ ゴシック" w:eastAsia="ＭＳ ゴシック"/>
          <w:sz w:val="16"/>
        </w:rPr>
      </w:pPr>
      <w:r>
        <w:rPr>
          <w:rFonts w:hint="eastAsia" w:ascii="ＭＳ ゴシック" w:hAnsi="ＭＳ ゴシック" w:eastAsia="ＭＳ ゴシック"/>
          <w:sz w:val="16"/>
        </w:rPr>
        <w:t>②　市町村長又は特別区長から認定を受けた後、本認定の有効期間内に金融機関又は信用保証協会に対して、経営安定関連保証の申込みを行うことが必要です。</w:t>
      </w:r>
    </w:p>
    <w:p>
      <w:pPr>
        <w:pStyle w:val="20"/>
        <w:spacing w:line="120" w:lineRule="exact"/>
        <w:ind w:firstLine="183" w:firstLineChars="100"/>
        <w:rPr>
          <w:rFonts w:hint="eastAsia" w:ascii="ＭＳ ゴシック" w:hAnsi="ＭＳ ゴシック" w:eastAsia="ＭＳ ゴシック"/>
          <w:spacing w:val="0"/>
          <w:sz w:val="20"/>
        </w:rPr>
      </w:pPr>
    </w:p>
    <w:p>
      <w:pPr>
        <w:pStyle w:val="20"/>
        <w:spacing w:line="240" w:lineRule="exact"/>
        <w:ind w:firstLine="163" w:firstLineChars="100"/>
        <w:rPr>
          <w:rFonts w:hint="eastAsia" w:ascii="ＭＳ ゴシック" w:hAnsi="ＭＳ ゴシック" w:eastAsia="ＭＳ ゴシック"/>
          <w:spacing w:val="0"/>
          <w:sz w:val="18"/>
        </w:rPr>
      </w:pPr>
      <w:r>
        <w:rPr>
          <w:rFonts w:hint="eastAsia" w:ascii="ＭＳ ゴシック" w:hAnsi="ＭＳ ゴシック" w:eastAsia="ＭＳ ゴシック"/>
          <w:spacing w:val="0"/>
          <w:sz w:val="18"/>
        </w:rPr>
        <w:t>五　商　発　第　　　号</w:t>
      </w:r>
    </w:p>
    <w:p>
      <w:pPr>
        <w:pStyle w:val="20"/>
        <w:spacing w:line="240" w:lineRule="exact"/>
        <w:ind w:firstLine="163" w:firstLineChars="100"/>
        <w:rPr>
          <w:rFonts w:hint="eastAsia" w:ascii="ＭＳ ゴシック" w:hAnsi="ＭＳ ゴシック" w:eastAsia="ＭＳ ゴシック"/>
          <w:spacing w:val="0"/>
          <w:sz w:val="18"/>
        </w:rPr>
      </w:pPr>
      <w:r>
        <w:rPr>
          <w:rFonts w:hint="eastAsia" w:ascii="ＭＳ ゴシック" w:hAnsi="ＭＳ ゴシック" w:eastAsia="ＭＳ ゴシック"/>
          <w:spacing w:val="0"/>
          <w:sz w:val="18"/>
        </w:rPr>
        <w:t>令和　　年　　月　　日</w:t>
      </w:r>
    </w:p>
    <w:p>
      <w:pPr>
        <w:pStyle w:val="20"/>
        <w:spacing w:line="240" w:lineRule="exact"/>
        <w:ind w:firstLine="177" w:firstLineChars="100"/>
        <w:rPr>
          <w:rFonts w:hint="eastAsia" w:ascii="ＭＳ ゴシック" w:hAnsi="ＭＳ ゴシック" w:eastAsia="ＭＳ ゴシック"/>
          <w:spacing w:val="0"/>
          <w:sz w:val="18"/>
        </w:rPr>
      </w:pPr>
      <w:r>
        <w:rPr>
          <w:rFonts w:hint="eastAsia" w:ascii="ＭＳ ゴシック" w:hAnsi="ＭＳ ゴシック" w:eastAsia="ＭＳ ゴシック"/>
          <w:sz w:val="18"/>
        </w:rPr>
        <w:t>申請のとおり、相違ないことを認定します。</w:t>
      </w:r>
    </w:p>
    <w:p>
      <w:pPr>
        <w:pStyle w:val="20"/>
        <w:spacing w:line="240" w:lineRule="exact"/>
        <w:ind w:left="688" w:leftChars="104" w:hanging="488" w:hangingChars="300"/>
        <w:rPr>
          <w:rFonts w:hint="eastAsia" w:ascii="ＭＳ ゴシック" w:hAnsi="ＭＳ ゴシック" w:eastAsia="ＭＳ ゴシック"/>
          <w:spacing w:val="0"/>
          <w:sz w:val="18"/>
        </w:rPr>
      </w:pPr>
      <w:r>
        <w:rPr>
          <w:rFonts w:hint="eastAsia" w:ascii="ＭＳ ゴシック" w:hAnsi="ＭＳ ゴシック" w:eastAsia="ＭＳ ゴシック"/>
          <w:spacing w:val="0"/>
          <w:sz w:val="18"/>
        </w:rPr>
        <w:t xml:space="preserve"> </w:t>
      </w:r>
      <w:r>
        <w:rPr>
          <w:rFonts w:hint="eastAsia" w:ascii="ＭＳ ゴシック" w:hAnsi="ＭＳ ゴシック" w:eastAsia="ＭＳ ゴシック"/>
          <w:spacing w:val="0"/>
          <w:sz w:val="18"/>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sz w:val="16"/>
        </w:rPr>
      </w:pPr>
      <w:r>
        <w:rPr>
          <w:rFonts w:hint="eastAsia" w:ascii="ＭＳ ゴシック" w:hAnsi="ＭＳ ゴシック" w:eastAsia="ＭＳ ゴシック"/>
          <w:sz w:val="18"/>
        </w:rPr>
        <w:t>五所川原市長　佐々木　孝昌　　</w:t>
      </w:r>
    </w:p>
    <w:sectPr>
      <w:pgSz w:w="11906" w:h="16838"/>
      <w:pgMar w:top="1134" w:right="1134" w:bottom="1134" w:left="1134" w:header="851" w:footer="992"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一太郎８/９"/>
    <w:next w:val="20"/>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569</TotalTime>
  <Pages>1</Pages>
  <Words>0</Words>
  <Characters>1137</Characters>
  <Application>JUST Note</Application>
  <Lines>71</Lines>
  <Paragraphs>42</Paragraphs>
  <CharactersWithSpaces>1503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2012-10-01T02:38:00Z</cp:lastPrinted>
  <dcterms:created xsi:type="dcterms:W3CDTF">2012-09-28T04:38:00Z</dcterms:created>
  <dcterms:modified xsi:type="dcterms:W3CDTF">2023-09-19T07:54:56Z</dcterms:modified>
  <cp:revision>12</cp:revision>
</cp:coreProperties>
</file>