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tabs>
          <w:tab w:val="left" w:leader="none" w:pos="6096"/>
        </w:tabs>
        <w:jc w:val="right"/>
        <w:rPr>
          <w:rFonts w:hint="default"/>
        </w:rPr>
      </w:pPr>
      <w:r>
        <w:rPr>
          <w:rFonts w:hint="eastAsia"/>
          <w:sz w:val="24"/>
        </w:rPr>
        <w:t>発注日　●●●●年●●月●●日</w:t>
      </w:r>
    </w:p>
    <w:p>
      <w:pPr>
        <w:pStyle w:val="0"/>
        <w:jc w:val="center"/>
        <w:rPr>
          <w:rFonts w:hint="default"/>
          <w:sz w:val="32"/>
        </w:rPr>
      </w:pPr>
      <w:r>
        <w:rPr>
          <w:rFonts w:hint="eastAsia"/>
          <w:sz w:val="32"/>
        </w:rPr>
        <w:t>注　文　書</w:t>
      </w:r>
    </w:p>
    <w:p>
      <w:pPr>
        <w:pStyle w:val="0"/>
        <w:rPr>
          <w:rFonts w:hint="default"/>
          <w:sz w:val="24"/>
        </w:rPr>
      </w:pPr>
      <w:r>
        <w:rPr>
          <w:rFonts w:hint="eastAsia"/>
          <w:sz w:val="24"/>
        </w:rPr>
        <w:t>（売主）</w:t>
      </w:r>
    </w:p>
    <w:p>
      <w:pPr>
        <w:pStyle w:val="0"/>
        <w:tabs>
          <w:tab w:val="left" w:leader="none" w:pos="5812"/>
        </w:tabs>
        <w:rPr>
          <w:rFonts w:hint="default"/>
          <w:sz w:val="24"/>
        </w:rPr>
      </w:pPr>
      <w:r>
        <w:rPr>
          <w:rFonts w:hint="eastAsia"/>
          <w:sz w:val="24"/>
        </w:rPr>
        <w:t>〔住所〕</w:t>
      </w:r>
    </w:p>
    <w:p>
      <w:pPr>
        <w:pStyle w:val="0"/>
        <w:rPr>
          <w:rFonts w:hint="default"/>
          <w:sz w:val="24"/>
        </w:rPr>
      </w:pPr>
      <w:r>
        <w:rPr>
          <w:rFonts w:hint="eastAsia"/>
          <w:sz w:val="24"/>
        </w:rPr>
        <w:t>富士フイルムシステムサービス株式会社</w:t>
      </w:r>
    </w:p>
    <w:p>
      <w:pPr>
        <w:pStyle w:val="0"/>
        <w:rPr>
          <w:rFonts w:hint="default"/>
          <w:sz w:val="24"/>
        </w:rPr>
      </w:pPr>
      <w:r>
        <w:rPr>
          <w:rFonts w:hint="eastAsia"/>
          <w:sz w:val="24"/>
        </w:rPr>
        <w:t>公共事業本部　東北支店</w:t>
      </w:r>
    </w:p>
    <w:p>
      <w:pPr>
        <w:pStyle w:val="0"/>
        <w:rPr>
          <w:rFonts w:hint="default"/>
          <w:sz w:val="24"/>
        </w:rPr>
      </w:pPr>
      <w:r>
        <w:rPr>
          <w:rFonts w:hint="eastAsia"/>
          <w:sz w:val="24"/>
        </w:rPr>
        <w:t>支店長　※※※※　殿</w:t>
      </w:r>
    </w:p>
    <w:p>
      <w:pPr>
        <w:pStyle w:val="0"/>
        <w:ind w:left="5811" w:leftChars="2767"/>
        <w:rPr>
          <w:rFonts w:hint="default"/>
          <w:sz w:val="24"/>
        </w:rPr>
      </w:pPr>
      <w:r>
        <w:rPr>
          <w:rFonts w:hint="default"/>
          <w:sz w:val="24"/>
        </w:rPr>
        <mc:AlternateContent>
          <mc:Choice Requires="wps">
            <w:drawing>
              <wp:anchor distT="0" distB="0" distL="114300" distR="114300" simplePos="0" relativeHeight="2" behindDoc="0" locked="0" layoutInCell="1" hidden="0" allowOverlap="1">
                <wp:simplePos x="0" y="0"/>
                <wp:positionH relativeFrom="column">
                  <wp:posOffset>-20320</wp:posOffset>
                </wp:positionH>
                <wp:positionV relativeFrom="paragraph">
                  <wp:posOffset>229870</wp:posOffset>
                </wp:positionV>
                <wp:extent cx="3362325" cy="1552575"/>
                <wp:effectExtent l="0" t="0" r="635" b="635"/>
                <wp:wrapNone/>
                <wp:docPr id="1026" name="Rectangle 3"/>
                <a:graphic xmlns:a="http://schemas.openxmlformats.org/drawingml/2006/main">
                  <a:graphicData uri="http://schemas.microsoft.com/office/word/2010/wordprocessingShape">
                    <wps:wsp>
                      <wps:cNvPr id="1026" name="Rectangle 3"/>
                      <wps:cNvSpPr>
                        <a:spLocks noChangeArrowheads="1"/>
                      </wps:cNvSpPr>
                      <wps:spPr>
                        <a:xfrm>
                          <a:off x="0" y="0"/>
                          <a:ext cx="3362325" cy="1552575"/>
                        </a:xfrm>
                        <a:prstGeom prst="rect">
                          <a:avLst/>
                        </a:prstGeom>
                        <a:solidFill>
                          <a:srgbClr val="FFFFFF"/>
                        </a:solidFill>
                        <a:ln>
                          <a:noFill/>
                        </a:ln>
                      </wps:spPr>
                      <wps:txbx>
                        <w:txbxContent>
                          <w:p>
                            <w:pPr>
                              <w:pStyle w:val="0"/>
                              <w:rPr>
                                <w:rFonts w:hint="default"/>
                                <w:sz w:val="22"/>
                              </w:rPr>
                            </w:pPr>
                            <w:r>
                              <w:rPr>
                                <w:rFonts w:hint="eastAsia"/>
                                <w:sz w:val="22"/>
                              </w:rPr>
                              <w:t>　買主と下記賃借人との間のリース契約の目的物件として、下記の物件を下記のとおりご注文申し上げますので、下記及び裏面売買条項をご確認の後、注文請書をご返送願います。</w:t>
                            </w:r>
                          </w:p>
                          <w:p>
                            <w:pPr>
                              <w:pStyle w:val="0"/>
                              <w:rPr>
                                <w:rFonts w:hint="default"/>
                                <w:sz w:val="22"/>
                              </w:rPr>
                            </w:pPr>
                            <w:r>
                              <w:rPr>
                                <w:rFonts w:hint="eastAsia"/>
                                <w:sz w:val="22"/>
                              </w:rPr>
                              <w:t>　物件納入後、物件名を記入した納品書を請求書とともにご送付願います。</w:t>
                            </w:r>
                          </w:p>
                        </w:txbxContent>
                      </wps:txbx>
                      <wps:bodyPr rot="0" vertOverflow="overflow" horzOverflow="overflow" wrap="square" lIns="74295" tIns="8890" rIns="74295" bIns="8890" anchor="t" anchorCtr="0" upright="1"/>
                    </wps:wsp>
                  </a:graphicData>
                </a:graphic>
              </wp:anchor>
            </w:drawing>
          </mc:Choice>
          <mc:Fallback>
            <w:pict>
              <v:rect id="Rectangle 3" style="mso-position-vertical-relative:text;z-index:2;mso-wrap-distance-left:9pt;width:264.75pt;height:122.25pt;mso-position-horizontal-relative:text;position:absolute;margin-left:-1.6pt;margin-top:18.100000000000001pt;mso-wrap-distance-bottom:0pt;mso-wrap-distance-right:9pt;mso-wrap-distance-top:0pt;v-text-anchor:top;" o:spid="_x0000_s1026" o:allowincell="t" o:allowoverlap="t" filled="t" fillcolor="#ffffff" stroked="f" o:spt="1">
                <v:fill/>
                <v:textbox style="layout-flow:horizontal;" inset="2.0637499999999998mm,0.24694444444444438mm,2.0637499999999998mm,0.24694444444444438mm">
                  <w:txbxContent>
                    <w:p>
                      <w:pPr>
                        <w:pStyle w:val="0"/>
                        <w:rPr>
                          <w:rFonts w:hint="default"/>
                          <w:sz w:val="22"/>
                        </w:rPr>
                      </w:pPr>
                      <w:r>
                        <w:rPr>
                          <w:rFonts w:hint="eastAsia"/>
                          <w:sz w:val="22"/>
                        </w:rPr>
                        <w:t>　買主と下記賃借人との間のリース契約の目的物件として、下記の物件を下記のとおりご注文申し上げますので、下記及び裏面売買条項をご確認の後、注文請書をご返送願います。</w:t>
                      </w:r>
                    </w:p>
                    <w:p>
                      <w:pPr>
                        <w:pStyle w:val="0"/>
                        <w:rPr>
                          <w:rFonts w:hint="default"/>
                          <w:sz w:val="22"/>
                        </w:rPr>
                      </w:pPr>
                      <w:r>
                        <w:rPr>
                          <w:rFonts w:hint="eastAsia"/>
                          <w:sz w:val="22"/>
                        </w:rPr>
                        <w:t>　物件納入後、物件名を記入した納品書を請求書とともにご送付願います。</w:t>
                      </w:r>
                    </w:p>
                  </w:txbxContent>
                </v:textbox>
                <v:imagedata o:title=""/>
                <w10:wrap type="none" anchorx="text" anchory="text"/>
              </v:rect>
            </w:pict>
          </mc:Fallback>
        </mc:AlternateContent>
      </w:r>
      <w:r>
        <w:rPr>
          <w:rFonts w:hint="eastAsia"/>
          <w:sz w:val="24"/>
        </w:rPr>
        <w:t>（買主）</w:t>
      </w:r>
    </w:p>
    <w:p>
      <w:pPr>
        <w:pStyle w:val="0"/>
        <w:ind w:left="5811" w:leftChars="2767"/>
        <w:rPr>
          <w:rFonts w:hint="default"/>
          <w:sz w:val="24"/>
        </w:rPr>
      </w:pPr>
      <w:r>
        <w:rPr>
          <w:rFonts w:hint="eastAsia"/>
          <w:sz w:val="24"/>
        </w:rPr>
        <w:t>〔住所〕</w:t>
      </w:r>
    </w:p>
    <w:p>
      <w:pPr>
        <w:pStyle w:val="0"/>
        <w:ind w:left="5811" w:leftChars="2767"/>
        <w:rPr>
          <w:rFonts w:hint="default"/>
          <w:sz w:val="24"/>
        </w:rPr>
      </w:pPr>
      <w:r>
        <w:rPr>
          <w:rFonts w:hint="eastAsia"/>
          <w:sz w:val="24"/>
        </w:rPr>
        <w:t>〔リース会社名〕</w:t>
      </w:r>
    </w:p>
    <w:p>
      <w:pPr>
        <w:pStyle w:val="0"/>
        <w:ind w:left="5811" w:leftChars="2767"/>
        <w:rPr>
          <w:rFonts w:hint="default"/>
          <w:sz w:val="24"/>
        </w:rPr>
      </w:pPr>
      <w:r>
        <w:rPr>
          <w:rFonts w:hint="eastAsia"/>
          <w:sz w:val="24"/>
        </w:rPr>
        <w:t>〔役職〕　　〔氏名〕　　㊞</w:t>
      </w:r>
    </w:p>
    <w:p>
      <w:pPr>
        <w:pStyle w:val="0"/>
        <w:ind w:left="5811" w:leftChars="2767"/>
        <w:rPr>
          <w:rFonts w:hint="default"/>
          <w:sz w:val="24"/>
        </w:rPr>
      </w:pPr>
    </w:p>
    <w:p>
      <w:pPr>
        <w:pStyle w:val="0"/>
        <w:ind w:left="5811" w:leftChars="2767"/>
        <w:rPr>
          <w:rFonts w:hint="default"/>
          <w:sz w:val="20"/>
        </w:rPr>
      </w:pPr>
      <w:r>
        <w:rPr>
          <w:rFonts w:hint="eastAsia"/>
          <w:sz w:val="20"/>
        </w:rPr>
        <w:t>担当部課：●●●●</w:t>
      </w:r>
    </w:p>
    <w:p>
      <w:pPr>
        <w:pStyle w:val="0"/>
        <w:ind w:left="5811" w:leftChars="2767"/>
        <w:rPr>
          <w:rFonts w:hint="default"/>
          <w:sz w:val="20"/>
        </w:rPr>
      </w:pPr>
      <w:r>
        <w:rPr>
          <w:rFonts w:hint="eastAsia"/>
          <w:sz w:val="20"/>
        </w:rPr>
        <w:t>担当者名：●●●●</w:t>
      </w:r>
    </w:p>
    <w:p>
      <w:pPr>
        <w:pStyle w:val="0"/>
        <w:ind w:left="5811" w:leftChars="2767"/>
        <w:rPr>
          <w:rFonts w:hint="default"/>
          <w:sz w:val="20"/>
        </w:rPr>
      </w:pPr>
      <w:r>
        <w:rPr>
          <w:rFonts w:hint="eastAsia"/>
          <w:sz w:val="20"/>
        </w:rPr>
        <w:t>電話番号：●●●●</w:t>
      </w:r>
    </w:p>
    <w:p>
      <w:pPr>
        <w:pStyle w:val="0"/>
        <w:ind w:firstLine="220" w:firstLineChars="100"/>
        <w:rPr>
          <w:rFonts w:hint="default"/>
          <w:sz w:val="22"/>
          <w:u w:val="single" w:color="auto"/>
        </w:rPr>
      </w:pPr>
      <w:r>
        <w:rPr>
          <w:rFonts w:hint="eastAsia"/>
          <w:sz w:val="22"/>
          <w:u w:val="single" w:color="auto"/>
        </w:rPr>
        <w:t>契約番号　　●●●●●　　　　　　　　　　　　　　　　　　　　　　　　　　　　　　　</w:t>
      </w:r>
    </w:p>
    <w:p>
      <w:pPr>
        <w:pStyle w:val="0"/>
        <w:ind w:firstLine="220" w:firstLineChars="100"/>
        <w:rPr>
          <w:rFonts w:hint="default"/>
          <w:sz w:val="22"/>
          <w:u w:val="single" w:color="auto"/>
        </w:rPr>
      </w:pPr>
      <w:r>
        <w:rPr>
          <w:rFonts w:hint="eastAsia"/>
          <w:sz w:val="22"/>
          <w:u w:val="single" w:color="auto"/>
        </w:rPr>
        <w:t>賃借人　　　青森県五所川原市　　　　　　　　　　　　　　　　　　　　　　　　　　　　　　</w:t>
      </w:r>
    </w:p>
    <w:p>
      <w:pPr>
        <w:pStyle w:val="0"/>
        <w:ind w:firstLine="220" w:firstLineChars="100"/>
        <w:rPr>
          <w:rFonts w:hint="default"/>
          <w:sz w:val="22"/>
          <w:u w:val="single" w:color="auto"/>
        </w:rPr>
      </w:pPr>
      <w:r>
        <w:rPr>
          <w:rFonts w:hint="eastAsia"/>
          <w:sz w:val="22"/>
          <w:u w:val="single" w:color="auto"/>
        </w:rPr>
        <w:t>引渡期日　　●●●●年●●月●日　　　　　　　　　　　　　　　　　　　　　　　　　　</w:t>
      </w:r>
    </w:p>
    <w:p>
      <w:pPr>
        <w:pStyle w:val="0"/>
        <w:ind w:firstLine="220" w:firstLineChars="100"/>
        <w:rPr>
          <w:rFonts w:hint="default"/>
          <w:sz w:val="22"/>
          <w:u w:val="single" w:color="auto"/>
        </w:rPr>
      </w:pPr>
      <w:r>
        <w:rPr>
          <w:rFonts w:hint="eastAsia"/>
          <w:sz w:val="22"/>
          <w:u w:val="single" w:color="auto"/>
        </w:rPr>
        <w:t>引渡場所　　●●●●●　　　　　　　　　　　　　　　　　　　　　　　　　　　　　　　</w:t>
      </w:r>
    </w:p>
    <w:p>
      <w:pPr>
        <w:pStyle w:val="0"/>
        <w:ind w:firstLine="220" w:firstLineChars="100"/>
        <w:rPr>
          <w:rFonts w:hint="default"/>
          <w:sz w:val="22"/>
          <w:u w:val="single" w:color="auto"/>
        </w:rPr>
      </w:pPr>
      <w:r>
        <w:rPr>
          <w:rFonts w:hint="eastAsia"/>
          <w:sz w:val="22"/>
          <w:u w:val="single" w:color="auto"/>
        </w:rPr>
        <w:t>支払条件　　引渡し完了後３０日以内</w:t>
      </w:r>
      <w:r>
        <w:rPr>
          <w:rFonts w:hint="eastAsia"/>
          <w:sz w:val="22"/>
          <w:u w:val="single" w:color="auto"/>
        </w:rPr>
        <w:t xml:space="preserve"> </w:t>
      </w:r>
      <w:r>
        <w:rPr>
          <w:rFonts w:hint="eastAsia"/>
          <w:sz w:val="22"/>
          <w:u w:val="single" w:color="auto"/>
        </w:rPr>
        <w:t>　　　　　　　　　　　　　　　　　　　　　　</w:t>
      </w:r>
      <w:r>
        <w:rPr>
          <w:rFonts w:hint="eastAsia"/>
          <w:sz w:val="22"/>
          <w:u w:val="single" w:color="auto"/>
        </w:rPr>
        <w:t xml:space="preserve"> </w:t>
      </w:r>
      <w:r>
        <w:rPr>
          <w:rFonts w:hint="eastAsia"/>
          <w:sz w:val="22"/>
          <w:u w:val="single" w:color="auto"/>
        </w:rPr>
        <w:t>　　</w:t>
      </w:r>
    </w:p>
    <w:p>
      <w:pPr>
        <w:pStyle w:val="0"/>
        <w:rPr>
          <w:rFonts w:hint="default"/>
          <w:sz w:val="24"/>
        </w:rPr>
      </w:pPr>
    </w:p>
    <w:tbl>
      <w:tblPr>
        <w:tblStyle w:val="11"/>
        <w:tblW w:w="937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007"/>
        <w:gridCol w:w="946"/>
        <w:gridCol w:w="1860"/>
        <w:gridCol w:w="1630"/>
        <w:gridCol w:w="1935"/>
      </w:tblGrid>
      <w:tr>
        <w:trPr/>
        <w:tc>
          <w:tcPr>
            <w:tcW w:w="3087" w:type="dxa"/>
            <w:vAlign w:val="top"/>
          </w:tcPr>
          <w:p>
            <w:pPr>
              <w:pStyle w:val="0"/>
              <w:jc w:val="center"/>
              <w:rPr>
                <w:rFonts w:hint="default"/>
                <w:sz w:val="22"/>
              </w:rPr>
            </w:pPr>
            <w:r>
              <w:rPr>
                <w:rFonts w:hint="eastAsia"/>
                <w:sz w:val="22"/>
              </w:rPr>
              <w:t>物件名及び明細</w:t>
            </w:r>
          </w:p>
        </w:tc>
        <w:tc>
          <w:tcPr>
            <w:tcW w:w="962" w:type="dxa"/>
            <w:vAlign w:val="top"/>
          </w:tcPr>
          <w:p>
            <w:pPr>
              <w:pStyle w:val="0"/>
              <w:jc w:val="center"/>
              <w:rPr>
                <w:rFonts w:hint="default"/>
                <w:sz w:val="22"/>
              </w:rPr>
            </w:pPr>
            <w:r>
              <w:rPr>
                <w:rFonts w:hint="eastAsia"/>
                <w:sz w:val="22"/>
              </w:rPr>
              <w:t>数量</w:t>
            </w:r>
          </w:p>
        </w:tc>
        <w:tc>
          <w:tcPr>
            <w:tcW w:w="1905" w:type="dxa"/>
            <w:vAlign w:val="top"/>
          </w:tcPr>
          <w:p>
            <w:pPr>
              <w:pStyle w:val="0"/>
              <w:jc w:val="center"/>
              <w:rPr>
                <w:rFonts w:hint="default"/>
                <w:sz w:val="22"/>
              </w:rPr>
            </w:pPr>
            <w:r>
              <w:rPr>
                <w:rFonts w:hint="eastAsia"/>
                <w:sz w:val="22"/>
              </w:rPr>
              <w:t>売買価額</w:t>
            </w:r>
          </w:p>
        </w:tc>
        <w:tc>
          <w:tcPr>
            <w:tcW w:w="1668" w:type="dxa"/>
            <w:vAlign w:val="top"/>
          </w:tcPr>
          <w:p>
            <w:pPr>
              <w:pStyle w:val="0"/>
              <w:jc w:val="center"/>
              <w:rPr>
                <w:rFonts w:hint="default"/>
                <w:sz w:val="22"/>
              </w:rPr>
            </w:pPr>
            <w:r>
              <w:rPr>
                <w:rFonts w:hint="eastAsia"/>
                <w:sz w:val="22"/>
              </w:rPr>
              <w:t>消費税等</w:t>
            </w:r>
          </w:p>
        </w:tc>
        <w:tc>
          <w:tcPr>
            <w:tcW w:w="1982" w:type="dxa"/>
            <w:vAlign w:val="top"/>
          </w:tcPr>
          <w:p>
            <w:pPr>
              <w:pStyle w:val="0"/>
              <w:jc w:val="center"/>
              <w:rPr>
                <w:rFonts w:hint="default"/>
                <w:sz w:val="22"/>
              </w:rPr>
            </w:pPr>
            <w:r>
              <w:rPr>
                <w:rFonts w:hint="eastAsia"/>
                <w:sz w:val="22"/>
              </w:rPr>
              <w:t>小計</w:t>
            </w:r>
          </w:p>
        </w:tc>
      </w:tr>
      <w:tr>
        <w:trPr/>
        <w:tc>
          <w:tcPr>
            <w:tcW w:w="3087" w:type="dxa"/>
            <w:vAlign w:val="top"/>
          </w:tcPr>
          <w:p>
            <w:pPr>
              <w:pStyle w:val="0"/>
              <w:rPr>
                <w:rFonts w:hint="default"/>
                <w:sz w:val="22"/>
              </w:rPr>
            </w:pPr>
          </w:p>
          <w:p>
            <w:pPr>
              <w:pStyle w:val="0"/>
              <w:rPr>
                <w:rFonts w:hint="default"/>
                <w:sz w:val="22"/>
              </w:rPr>
            </w:pPr>
          </w:p>
        </w:tc>
        <w:tc>
          <w:tcPr>
            <w:tcW w:w="962" w:type="dxa"/>
            <w:vAlign w:val="center"/>
          </w:tcPr>
          <w:p>
            <w:pPr>
              <w:pStyle w:val="0"/>
              <w:jc w:val="center"/>
              <w:rPr>
                <w:rFonts w:hint="default"/>
                <w:sz w:val="22"/>
              </w:rPr>
            </w:pPr>
          </w:p>
        </w:tc>
        <w:tc>
          <w:tcPr>
            <w:tcW w:w="1905" w:type="dxa"/>
            <w:vAlign w:val="center"/>
          </w:tcPr>
          <w:p>
            <w:pPr>
              <w:pStyle w:val="0"/>
              <w:jc w:val="right"/>
              <w:rPr>
                <w:rFonts w:hint="default"/>
                <w:sz w:val="22"/>
              </w:rPr>
            </w:pPr>
          </w:p>
        </w:tc>
        <w:tc>
          <w:tcPr>
            <w:tcW w:w="1668" w:type="dxa"/>
            <w:vAlign w:val="center"/>
          </w:tcPr>
          <w:p>
            <w:pPr>
              <w:pStyle w:val="0"/>
              <w:jc w:val="right"/>
              <w:rPr>
                <w:rFonts w:hint="default"/>
                <w:sz w:val="22"/>
              </w:rPr>
            </w:pPr>
          </w:p>
        </w:tc>
        <w:tc>
          <w:tcPr>
            <w:tcW w:w="1982" w:type="dxa"/>
            <w:vAlign w:val="center"/>
          </w:tcPr>
          <w:p>
            <w:pPr>
              <w:pStyle w:val="0"/>
              <w:jc w:val="right"/>
              <w:rPr>
                <w:rFonts w:hint="default"/>
                <w:sz w:val="22"/>
              </w:rPr>
            </w:pPr>
          </w:p>
        </w:tc>
      </w:tr>
      <w:tr>
        <w:trPr/>
        <w:tc>
          <w:tcPr>
            <w:tcW w:w="3087" w:type="dxa"/>
            <w:vAlign w:val="top"/>
          </w:tcPr>
          <w:p>
            <w:pPr>
              <w:pStyle w:val="0"/>
              <w:rPr>
                <w:rFonts w:hint="default"/>
                <w:sz w:val="22"/>
              </w:rPr>
            </w:pPr>
          </w:p>
          <w:p>
            <w:pPr>
              <w:pStyle w:val="0"/>
              <w:rPr>
                <w:rFonts w:hint="default"/>
                <w:sz w:val="22"/>
              </w:rPr>
            </w:pPr>
          </w:p>
        </w:tc>
        <w:tc>
          <w:tcPr>
            <w:tcW w:w="962" w:type="dxa"/>
            <w:vAlign w:val="center"/>
          </w:tcPr>
          <w:p>
            <w:pPr>
              <w:pStyle w:val="0"/>
              <w:jc w:val="center"/>
              <w:rPr>
                <w:rFonts w:hint="default"/>
                <w:sz w:val="22"/>
              </w:rPr>
            </w:pPr>
          </w:p>
        </w:tc>
        <w:tc>
          <w:tcPr>
            <w:tcW w:w="1905" w:type="dxa"/>
            <w:vAlign w:val="center"/>
          </w:tcPr>
          <w:p>
            <w:pPr>
              <w:pStyle w:val="0"/>
              <w:jc w:val="right"/>
              <w:rPr>
                <w:rFonts w:hint="default"/>
                <w:sz w:val="22"/>
              </w:rPr>
            </w:pPr>
          </w:p>
        </w:tc>
        <w:tc>
          <w:tcPr>
            <w:tcW w:w="1668" w:type="dxa"/>
            <w:vAlign w:val="center"/>
          </w:tcPr>
          <w:p>
            <w:pPr>
              <w:pStyle w:val="0"/>
              <w:jc w:val="right"/>
              <w:rPr>
                <w:rFonts w:hint="default"/>
                <w:sz w:val="22"/>
              </w:rPr>
            </w:pPr>
          </w:p>
        </w:tc>
        <w:tc>
          <w:tcPr>
            <w:tcW w:w="1982" w:type="dxa"/>
            <w:vAlign w:val="center"/>
          </w:tcPr>
          <w:p>
            <w:pPr>
              <w:pStyle w:val="0"/>
              <w:jc w:val="right"/>
              <w:rPr>
                <w:rFonts w:hint="default"/>
                <w:sz w:val="22"/>
              </w:rPr>
            </w:pPr>
          </w:p>
        </w:tc>
      </w:tr>
      <w:tr>
        <w:trPr/>
        <w:tc>
          <w:tcPr>
            <w:tcW w:w="3087" w:type="dxa"/>
            <w:vAlign w:val="top"/>
          </w:tcPr>
          <w:p>
            <w:pPr>
              <w:pStyle w:val="0"/>
              <w:rPr>
                <w:rFonts w:hint="default"/>
                <w:sz w:val="22"/>
              </w:rPr>
            </w:pPr>
          </w:p>
          <w:p>
            <w:pPr>
              <w:pStyle w:val="0"/>
              <w:rPr>
                <w:rFonts w:hint="default"/>
                <w:sz w:val="22"/>
              </w:rPr>
            </w:pPr>
          </w:p>
        </w:tc>
        <w:tc>
          <w:tcPr>
            <w:tcW w:w="962" w:type="dxa"/>
            <w:vAlign w:val="center"/>
          </w:tcPr>
          <w:p>
            <w:pPr>
              <w:pStyle w:val="0"/>
              <w:jc w:val="center"/>
              <w:rPr>
                <w:rFonts w:hint="default"/>
                <w:sz w:val="22"/>
              </w:rPr>
            </w:pPr>
          </w:p>
        </w:tc>
        <w:tc>
          <w:tcPr>
            <w:tcW w:w="1905" w:type="dxa"/>
            <w:vAlign w:val="center"/>
          </w:tcPr>
          <w:p>
            <w:pPr>
              <w:pStyle w:val="0"/>
              <w:jc w:val="right"/>
              <w:rPr>
                <w:rFonts w:hint="default"/>
                <w:sz w:val="22"/>
              </w:rPr>
            </w:pPr>
          </w:p>
        </w:tc>
        <w:tc>
          <w:tcPr>
            <w:tcW w:w="1668" w:type="dxa"/>
            <w:vAlign w:val="center"/>
          </w:tcPr>
          <w:p>
            <w:pPr>
              <w:pStyle w:val="0"/>
              <w:jc w:val="right"/>
              <w:rPr>
                <w:rFonts w:hint="default"/>
                <w:sz w:val="22"/>
              </w:rPr>
            </w:pPr>
          </w:p>
        </w:tc>
        <w:tc>
          <w:tcPr>
            <w:tcW w:w="1982" w:type="dxa"/>
            <w:vAlign w:val="center"/>
          </w:tcPr>
          <w:p>
            <w:pPr>
              <w:pStyle w:val="0"/>
              <w:jc w:val="right"/>
              <w:rPr>
                <w:rFonts w:hint="default"/>
                <w:sz w:val="22"/>
              </w:rPr>
            </w:pPr>
          </w:p>
        </w:tc>
      </w:tr>
      <w:tr>
        <w:trPr/>
        <w:tc>
          <w:tcPr>
            <w:tcW w:w="3087" w:type="dxa"/>
            <w:vAlign w:val="top"/>
          </w:tcPr>
          <w:p>
            <w:pPr>
              <w:pStyle w:val="0"/>
              <w:rPr>
                <w:rFonts w:hint="default"/>
                <w:sz w:val="22"/>
              </w:rPr>
            </w:pPr>
          </w:p>
          <w:p>
            <w:pPr>
              <w:pStyle w:val="0"/>
              <w:rPr>
                <w:rFonts w:hint="default"/>
                <w:sz w:val="22"/>
              </w:rPr>
            </w:pPr>
          </w:p>
        </w:tc>
        <w:tc>
          <w:tcPr>
            <w:tcW w:w="962" w:type="dxa"/>
            <w:vAlign w:val="center"/>
          </w:tcPr>
          <w:p>
            <w:pPr>
              <w:pStyle w:val="0"/>
              <w:jc w:val="center"/>
              <w:rPr>
                <w:rFonts w:hint="default"/>
                <w:sz w:val="22"/>
              </w:rPr>
            </w:pPr>
          </w:p>
        </w:tc>
        <w:tc>
          <w:tcPr>
            <w:tcW w:w="1905" w:type="dxa"/>
            <w:vAlign w:val="center"/>
          </w:tcPr>
          <w:p>
            <w:pPr>
              <w:pStyle w:val="0"/>
              <w:jc w:val="right"/>
              <w:rPr>
                <w:rFonts w:hint="default"/>
                <w:sz w:val="22"/>
              </w:rPr>
            </w:pPr>
          </w:p>
        </w:tc>
        <w:tc>
          <w:tcPr>
            <w:tcW w:w="1668" w:type="dxa"/>
            <w:vAlign w:val="center"/>
          </w:tcPr>
          <w:p>
            <w:pPr>
              <w:pStyle w:val="0"/>
              <w:jc w:val="right"/>
              <w:rPr>
                <w:rFonts w:hint="default"/>
                <w:sz w:val="22"/>
              </w:rPr>
            </w:pPr>
          </w:p>
        </w:tc>
        <w:tc>
          <w:tcPr>
            <w:tcW w:w="1982" w:type="dxa"/>
            <w:vAlign w:val="center"/>
          </w:tcPr>
          <w:p>
            <w:pPr>
              <w:pStyle w:val="0"/>
              <w:jc w:val="right"/>
              <w:rPr>
                <w:rFonts w:hint="default"/>
                <w:sz w:val="22"/>
              </w:rPr>
            </w:pPr>
          </w:p>
        </w:tc>
      </w:tr>
      <w:tr>
        <w:trPr/>
        <w:tc>
          <w:tcPr>
            <w:tcW w:w="3087" w:type="dxa"/>
            <w:vAlign w:val="top"/>
          </w:tcPr>
          <w:p>
            <w:pPr>
              <w:pStyle w:val="0"/>
              <w:rPr>
                <w:rFonts w:hint="default"/>
                <w:sz w:val="22"/>
              </w:rPr>
            </w:pPr>
          </w:p>
          <w:p>
            <w:pPr>
              <w:pStyle w:val="0"/>
              <w:rPr>
                <w:rFonts w:hint="default"/>
                <w:sz w:val="22"/>
              </w:rPr>
            </w:pPr>
          </w:p>
        </w:tc>
        <w:tc>
          <w:tcPr>
            <w:tcW w:w="962" w:type="dxa"/>
            <w:vAlign w:val="center"/>
          </w:tcPr>
          <w:p>
            <w:pPr>
              <w:pStyle w:val="0"/>
              <w:jc w:val="center"/>
              <w:rPr>
                <w:rFonts w:hint="default"/>
                <w:sz w:val="22"/>
              </w:rPr>
            </w:pPr>
          </w:p>
        </w:tc>
        <w:tc>
          <w:tcPr>
            <w:tcW w:w="1905" w:type="dxa"/>
            <w:vAlign w:val="center"/>
          </w:tcPr>
          <w:p>
            <w:pPr>
              <w:pStyle w:val="0"/>
              <w:jc w:val="right"/>
              <w:rPr>
                <w:rFonts w:hint="default"/>
                <w:sz w:val="22"/>
              </w:rPr>
            </w:pPr>
          </w:p>
        </w:tc>
        <w:tc>
          <w:tcPr>
            <w:tcW w:w="1668" w:type="dxa"/>
            <w:vAlign w:val="center"/>
          </w:tcPr>
          <w:p>
            <w:pPr>
              <w:pStyle w:val="0"/>
              <w:jc w:val="right"/>
              <w:rPr>
                <w:rFonts w:hint="default"/>
                <w:sz w:val="22"/>
              </w:rPr>
            </w:pPr>
          </w:p>
        </w:tc>
        <w:tc>
          <w:tcPr>
            <w:tcW w:w="1982" w:type="dxa"/>
            <w:vAlign w:val="center"/>
          </w:tcPr>
          <w:p>
            <w:pPr>
              <w:pStyle w:val="0"/>
              <w:jc w:val="right"/>
              <w:rPr>
                <w:rFonts w:hint="default"/>
                <w:sz w:val="22"/>
              </w:rPr>
            </w:pPr>
          </w:p>
        </w:tc>
      </w:tr>
      <w:tr>
        <w:trPr>
          <w:trHeight w:val="663" w:hRule="atLeast"/>
        </w:trPr>
        <w:tc>
          <w:tcPr>
            <w:tcW w:w="3087" w:type="dxa"/>
            <w:vAlign w:val="center"/>
          </w:tcPr>
          <w:p>
            <w:pPr>
              <w:pStyle w:val="0"/>
              <w:jc w:val="center"/>
              <w:rPr>
                <w:rFonts w:hint="default"/>
                <w:sz w:val="22"/>
              </w:rPr>
            </w:pPr>
            <w:r>
              <w:rPr>
                <w:rFonts w:hint="eastAsia"/>
                <w:sz w:val="22"/>
              </w:rPr>
              <w:t>合計</w:t>
            </w:r>
          </w:p>
        </w:tc>
        <w:tc>
          <w:tcPr>
            <w:tcW w:w="962" w:type="dxa"/>
            <w:vAlign w:val="center"/>
          </w:tcPr>
          <w:p>
            <w:pPr>
              <w:pStyle w:val="0"/>
              <w:jc w:val="center"/>
              <w:rPr>
                <w:rFonts w:hint="default"/>
                <w:sz w:val="22"/>
              </w:rPr>
            </w:pPr>
          </w:p>
        </w:tc>
        <w:tc>
          <w:tcPr>
            <w:tcW w:w="1905" w:type="dxa"/>
            <w:vAlign w:val="center"/>
          </w:tcPr>
          <w:p>
            <w:pPr>
              <w:pStyle w:val="0"/>
              <w:jc w:val="right"/>
              <w:rPr>
                <w:rFonts w:hint="default"/>
                <w:sz w:val="22"/>
              </w:rPr>
            </w:pPr>
          </w:p>
        </w:tc>
        <w:tc>
          <w:tcPr>
            <w:tcW w:w="1668" w:type="dxa"/>
            <w:vAlign w:val="center"/>
          </w:tcPr>
          <w:p>
            <w:pPr>
              <w:pStyle w:val="0"/>
              <w:jc w:val="right"/>
              <w:rPr>
                <w:rFonts w:hint="default"/>
                <w:sz w:val="22"/>
              </w:rPr>
            </w:pPr>
          </w:p>
        </w:tc>
        <w:tc>
          <w:tcPr>
            <w:tcW w:w="1982" w:type="dxa"/>
            <w:vAlign w:val="center"/>
          </w:tcPr>
          <w:p>
            <w:pPr>
              <w:pStyle w:val="0"/>
              <w:jc w:val="right"/>
              <w:rPr>
                <w:rFonts w:hint="default"/>
                <w:sz w:val="22"/>
              </w:rPr>
            </w:pPr>
          </w:p>
        </w:tc>
      </w:tr>
      <w:tr>
        <w:trPr/>
        <w:tc>
          <w:tcPr>
            <w:tcW w:w="9604" w:type="dxa"/>
            <w:gridSpan w:val="5"/>
            <w:vAlign w:val="top"/>
          </w:tcPr>
          <w:p>
            <w:pPr>
              <w:pStyle w:val="0"/>
              <w:rPr>
                <w:rFonts w:hint="default"/>
                <w:sz w:val="22"/>
              </w:rPr>
            </w:pPr>
            <w:r>
              <w:rPr>
                <w:rFonts w:hint="eastAsia"/>
                <w:sz w:val="22"/>
              </w:rPr>
              <w:t>特約条項</w:t>
            </w:r>
          </w:p>
          <w:p>
            <w:pPr>
              <w:pStyle w:val="0"/>
              <w:rPr>
                <w:rFonts w:hint="default"/>
                <w:sz w:val="22"/>
              </w:rPr>
            </w:pPr>
          </w:p>
          <w:p>
            <w:pPr>
              <w:pStyle w:val="0"/>
              <w:rPr>
                <w:rFonts w:hint="default"/>
                <w:sz w:val="22"/>
              </w:rPr>
            </w:pPr>
          </w:p>
          <w:p>
            <w:pPr>
              <w:pStyle w:val="0"/>
              <w:rPr>
                <w:rFonts w:hint="default"/>
                <w:sz w:val="22"/>
              </w:rPr>
            </w:pPr>
          </w:p>
          <w:p>
            <w:pPr>
              <w:pStyle w:val="0"/>
              <w:rPr>
                <w:rFonts w:hint="default"/>
                <w:sz w:val="22"/>
              </w:rPr>
            </w:pPr>
          </w:p>
        </w:tc>
      </w:tr>
    </w:tbl>
    <w:p>
      <w:pPr>
        <w:pStyle w:val="0"/>
        <w:widowControl w:val="1"/>
        <w:jc w:val="left"/>
        <w:rPr>
          <w:rFonts w:hint="default"/>
          <w:sz w:val="24"/>
        </w:rPr>
      </w:pPr>
    </w:p>
    <w:p>
      <w:pPr>
        <w:pStyle w:val="0"/>
        <w:widowControl w:val="1"/>
        <w:jc w:val="center"/>
        <w:rPr>
          <w:rFonts w:hint="default"/>
          <w:sz w:val="24"/>
        </w:rPr>
      </w:pPr>
      <w:r>
        <w:rPr>
          <w:rFonts w:hint="default"/>
          <w:sz w:val="24"/>
        </w:rPr>
        <w:br w:type="page"/>
      </w:r>
      <w:r>
        <w:rPr>
          <w:rFonts w:hint="eastAsia"/>
          <w:sz w:val="24"/>
        </w:rPr>
        <w:t>売</w:t>
      </w:r>
      <w:r>
        <w:rPr>
          <w:rFonts w:hint="eastAsia"/>
          <w:sz w:val="24"/>
        </w:rPr>
        <w:t xml:space="preserve"> </w:t>
      </w:r>
      <w:r>
        <w:rPr>
          <w:rFonts w:hint="eastAsia"/>
          <w:sz w:val="24"/>
        </w:rPr>
        <w:t>買</w:t>
      </w:r>
      <w:r>
        <w:rPr>
          <w:rFonts w:hint="eastAsia"/>
          <w:sz w:val="24"/>
        </w:rPr>
        <w:t xml:space="preserve"> </w:t>
      </w:r>
      <w:r>
        <w:rPr>
          <w:rFonts w:hint="eastAsia"/>
          <w:sz w:val="24"/>
        </w:rPr>
        <w:t>条</w:t>
      </w:r>
      <w:r>
        <w:rPr>
          <w:rFonts w:hint="eastAsia"/>
          <w:sz w:val="24"/>
        </w:rPr>
        <w:t xml:space="preserve"> </w:t>
      </w:r>
      <w:r>
        <w:rPr>
          <w:rFonts w:hint="eastAsia"/>
          <w:sz w:val="24"/>
        </w:rPr>
        <w:t>項</w:t>
      </w:r>
    </w:p>
    <w:p>
      <w:pPr>
        <w:rPr>
          <w:rFonts w:hint="default" w:ascii="ＭＳ 明朝" w:hAnsi="ＭＳ 明朝"/>
          <w:sz w:val="20"/>
        </w:rPr>
        <w:sectPr>
          <w:footerReference r:id="rId5" w:type="default"/>
          <w:type w:val="continuous"/>
          <w:pgSz w:w="11906" w:h="16838"/>
          <w:pgMar w:top="851" w:right="1134" w:bottom="567" w:left="1134" w:header="851" w:footer="284" w:gutter="0"/>
          <w:cols w:space="720"/>
          <w:formProt w:val="0"/>
          <w:textDirection w:val="lrTb"/>
          <w:docGrid w:type="linesAndChars" w:linePitch="360"/>
        </w:sectPr>
      </w:pPr>
    </w:p>
    <w:p>
      <w:pPr>
        <w:pStyle w:val="0"/>
        <w:snapToGrid w:val="0"/>
        <w:ind w:left="358" w:hanging="358" w:hangingChars="224"/>
        <w:rPr>
          <w:rFonts w:hint="default" w:ascii="ＭＳ 明朝" w:hAnsi="ＭＳ 明朝"/>
          <w:sz w:val="16"/>
        </w:rPr>
      </w:pPr>
      <w:r>
        <w:rPr>
          <w:rFonts w:hint="eastAsia" w:ascii="ＭＳ 明朝" w:hAnsi="ＭＳ 明朝"/>
          <w:sz w:val="16"/>
        </w:rPr>
        <w:t>第１条　この契約による物件（ソフトウェア付きの場合は当該ソフトウェアを含む。以下物件という。）は、表記賃借人（以下賃借人という。）が売主との間で選定し、賃借人と買主との間で締結する賃貸借契約（以下リース契約という。）の目的条件として、賃借人が指定した規格、仕様、機能、品質、性能、納入条件等に基づき発注されたものであることを確認します。</w:t>
      </w:r>
    </w:p>
    <w:p>
      <w:pPr>
        <w:pStyle w:val="0"/>
        <w:autoSpaceDE w:val="0"/>
        <w:autoSpaceDN w:val="0"/>
        <w:adjustRightInd w:val="0"/>
        <w:snapToGrid w:val="0"/>
        <w:ind w:left="358" w:hanging="358" w:hangingChars="224"/>
        <w:jc w:val="left"/>
        <w:rPr>
          <w:rFonts w:hint="default" w:ascii="ＭＳ 明朝" w:hAnsi="ＭＳ 明朝"/>
          <w:sz w:val="16"/>
        </w:rPr>
      </w:pPr>
      <w:r>
        <w:rPr>
          <w:rFonts w:hint="eastAsia" w:ascii="ＭＳ 明朝" w:hAnsi="ＭＳ 明朝"/>
          <w:kern w:val="0"/>
          <w:sz w:val="16"/>
        </w:rPr>
        <w:t>２　</w:t>
      </w:r>
      <w:r>
        <w:rPr>
          <w:rFonts w:hint="eastAsia" w:ascii="ＭＳ 明朝" w:hAnsi="ＭＳ 明朝"/>
          <w:sz w:val="16"/>
        </w:rPr>
        <w:t>物件にソフトウェアが含まれている場合、買主は賃借人に対してのみ実施可能な</w:t>
      </w:r>
      <w:r>
        <w:rPr>
          <w:rFonts w:hint="eastAsia" w:ascii="ＭＳ 明朝" w:hAnsi="ＭＳ 明朝"/>
          <w:kern w:val="0"/>
          <w:sz w:val="16"/>
        </w:rPr>
        <w:t>ソフトウェアの</w:t>
      </w:r>
      <w:r>
        <w:rPr>
          <w:rFonts w:hint="eastAsia" w:ascii="ＭＳ 明朝" w:hAnsi="ＭＳ 明朝"/>
          <w:sz w:val="16"/>
        </w:rPr>
        <w:t>再使用許諾権のみ</w:t>
      </w:r>
      <w:r>
        <w:rPr>
          <w:rFonts w:hint="eastAsia" w:ascii="ＭＳ 明朝" w:hAnsi="ＭＳ 明朝"/>
          <w:kern w:val="0"/>
          <w:sz w:val="16"/>
        </w:rPr>
        <w:t>を取得するものとし、売主の承諾がない限り、賃借人以外に再使用許諾権を実施できません。また、買主は自らソフトウェアを使用することはできません。</w:t>
      </w:r>
    </w:p>
    <w:p>
      <w:pPr>
        <w:pStyle w:val="0"/>
        <w:snapToGrid w:val="0"/>
        <w:ind w:left="358" w:hanging="358" w:hangingChars="224"/>
        <w:rPr>
          <w:rFonts w:hint="default" w:ascii="ＭＳ 明朝" w:hAnsi="ＭＳ 明朝"/>
          <w:sz w:val="16"/>
        </w:rPr>
      </w:pPr>
      <w:r>
        <w:rPr>
          <w:rFonts w:hint="eastAsia" w:ascii="ＭＳ 明朝" w:hAnsi="ＭＳ 明朝"/>
          <w:sz w:val="16"/>
        </w:rPr>
        <w:t>３　</w:t>
      </w:r>
      <w:r>
        <w:rPr>
          <w:rFonts w:hint="eastAsia" w:ascii="ＭＳ 明朝" w:hAnsi="ＭＳ 明朝"/>
          <w:kern w:val="0"/>
          <w:sz w:val="16"/>
        </w:rPr>
        <w:t>売主は、物件に関し、賃借人と売主の間で合意された契約又は仕様の範囲でのみ責任を負います。</w:t>
      </w:r>
    </w:p>
    <w:p>
      <w:pPr>
        <w:pStyle w:val="0"/>
        <w:snapToGrid w:val="0"/>
        <w:ind w:left="358" w:hanging="358" w:hangingChars="224"/>
        <w:rPr>
          <w:rFonts w:hint="default" w:ascii="ＭＳ 明朝" w:hAnsi="ＭＳ 明朝"/>
          <w:sz w:val="16"/>
        </w:rPr>
      </w:pPr>
      <w:r>
        <w:rPr>
          <w:rFonts w:hint="eastAsia" w:ascii="ＭＳ 明朝" w:hAnsi="ＭＳ 明朝"/>
          <w:sz w:val="16"/>
        </w:rPr>
        <w:t>第２条　この契約は、リース契約が有効に成立することを停止条件とし、かつ、買主が売主から注文請書を受領したときに成立します。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第３条　売主は、物件を引渡場所に搬入したときから第２項の引渡完了までの間、賃借人をして、売主のために物件を保管させます。</w:t>
      </w:r>
    </w:p>
    <w:p>
      <w:pPr>
        <w:pStyle w:val="0"/>
        <w:snapToGrid w:val="0"/>
        <w:ind w:left="358" w:hanging="358" w:hangingChars="224"/>
        <w:rPr>
          <w:rFonts w:hint="default" w:ascii="ＭＳ 明朝" w:hAnsi="ＭＳ 明朝"/>
          <w:sz w:val="16"/>
        </w:rPr>
      </w:pPr>
      <w:r>
        <w:rPr>
          <w:rFonts w:hint="eastAsia" w:ascii="ＭＳ 明朝" w:hAnsi="ＭＳ 明朝"/>
          <w:sz w:val="16"/>
        </w:rPr>
        <w:t>２　売主が物件を引渡場所に搬入した後、賃借人が物件に規格、仕様、機能、品質、性能等に不具合がないことを検査、確認し、買主に対しリース契約に基づく物件借受証を交付したときに、売主から買主に対する物件の引渡しが完了したものと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第４条　物件の所有権及び物件に生じた火災、盗難、紛失、毀損等の危険負担は、物件の引渡しが完了したときに、売主から買主に移転します。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第５条　物件の規格、仕様、機能、品質、性能、納入条件その他については、すべて賃借人の使用目的に合致させることを、売主は、賃借人及び買主に対し保証します。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第６条　物件に関する不適合責任、期間内保証、保守サービスその他売主の便益の供与、義務の履行については、売主が賃借人に対し直接その責任を負います。売主が自己の責に帰すべき事由による物件の引渡遅延又は引渡不能によって賃借人に損害を与えたときも同様とします。</w:t>
      </w:r>
    </w:p>
    <w:p>
      <w:pPr>
        <w:pStyle w:val="0"/>
        <w:snapToGrid w:val="0"/>
        <w:ind w:left="358" w:hanging="358" w:hangingChars="224"/>
        <w:rPr>
          <w:rFonts w:hint="default" w:ascii="ＭＳ 明朝" w:hAnsi="ＭＳ 明朝"/>
          <w:sz w:val="16"/>
        </w:rPr>
      </w:pPr>
      <w:r>
        <w:rPr>
          <w:rFonts w:hint="eastAsia" w:ascii="ＭＳ 明朝" w:hAnsi="ＭＳ 明朝"/>
          <w:sz w:val="16"/>
        </w:rPr>
        <w:t>２　物件の引渡しの前後を問わず、次の各号の一つに該当したときは、買主から売主に対する通知が遅延した場合においても、売主は、前項とは別に、買主に対し、契約の全部若しくは一部の解除、補修、代品交換又は損害賠償（買主の得べかりし利益を含む。）の請求に応じます。</w:t>
      </w:r>
    </w:p>
    <w:p>
      <w:pPr>
        <w:pStyle w:val="0"/>
        <w:snapToGrid w:val="0"/>
        <w:ind w:left="835" w:hanging="835" w:hangingChars="522"/>
        <w:rPr>
          <w:rFonts w:hint="default" w:ascii="ＭＳ 明朝" w:hAnsi="ＭＳ 明朝"/>
          <w:sz w:val="16"/>
        </w:rPr>
      </w:pPr>
      <w:r>
        <w:rPr>
          <w:rFonts w:hint="eastAsia" w:ascii="ＭＳ 明朝" w:hAnsi="ＭＳ 明朝"/>
          <w:sz w:val="16"/>
        </w:rPr>
        <w:t>　　（１）物件に品質又は性能の不良、規格又は仕様の不一致その他の不具合があったとき。</w:t>
      </w:r>
    </w:p>
    <w:p>
      <w:pPr>
        <w:pStyle w:val="0"/>
        <w:snapToGrid w:val="0"/>
        <w:ind w:left="835" w:hanging="835" w:hangingChars="522"/>
        <w:rPr>
          <w:rFonts w:hint="default" w:ascii="ＭＳ 明朝" w:hAnsi="ＭＳ 明朝"/>
          <w:sz w:val="16"/>
        </w:rPr>
      </w:pPr>
      <w:r>
        <w:rPr>
          <w:rFonts w:hint="eastAsia" w:ascii="ＭＳ 明朝" w:hAnsi="ＭＳ 明朝"/>
          <w:sz w:val="16"/>
        </w:rPr>
        <w:t>　　（２）売主に売買条件又は保証保守義務の違反その他の契約違反があったとき。</w:t>
      </w:r>
    </w:p>
    <w:p>
      <w:pPr>
        <w:pStyle w:val="0"/>
        <w:snapToGrid w:val="0"/>
        <w:ind w:left="835" w:hanging="835" w:hangingChars="522"/>
        <w:rPr>
          <w:rFonts w:hint="default" w:ascii="ＭＳ 明朝" w:hAnsi="ＭＳ 明朝"/>
          <w:sz w:val="16"/>
        </w:rPr>
      </w:pPr>
      <w:r>
        <w:rPr>
          <w:rFonts w:hint="eastAsia" w:ascii="ＭＳ 明朝" w:hAnsi="ＭＳ 明朝"/>
          <w:sz w:val="16"/>
        </w:rPr>
        <w:t>　　（３）賃借人が第１号又は前号の事由に基づき買主に対し異議若しくは苦情の申立、損害賠償の請求をなしたとき、又は賃借人が物件の受領を拒んだとき。</w:t>
      </w:r>
    </w:p>
    <w:p>
      <w:pPr>
        <w:pStyle w:val="0"/>
        <w:snapToGrid w:val="0"/>
        <w:ind w:left="358" w:hanging="358" w:hangingChars="224"/>
        <w:rPr>
          <w:rFonts w:hint="default" w:ascii="ＭＳ 明朝" w:hAnsi="ＭＳ 明朝"/>
          <w:sz w:val="16"/>
        </w:rPr>
      </w:pPr>
      <w:r>
        <w:rPr>
          <w:rFonts w:hint="eastAsia" w:ascii="ＭＳ 明朝" w:hAnsi="ＭＳ 明朝"/>
          <w:sz w:val="16"/>
        </w:rPr>
        <w:t>３　前項の場合において、買主が前項の請求権を買主としての地位とともに、又は地位と切り離して賃借人に譲渡しても、売主は何ら異議を述べません。</w:t>
      </w:r>
    </w:p>
    <w:p>
      <w:pPr>
        <w:pStyle w:val="0"/>
        <w:snapToGrid w:val="0"/>
        <w:ind w:left="358" w:hanging="358" w:hangingChars="224"/>
        <w:rPr>
          <w:rFonts w:hint="default" w:ascii="ＭＳ 明朝" w:hAnsi="ＭＳ 明朝"/>
          <w:sz w:val="16"/>
        </w:rPr>
      </w:pPr>
      <w:r>
        <w:rPr>
          <w:rFonts w:hint="eastAsia" w:ascii="ＭＳ 明朝" w:hAnsi="ＭＳ 明朝"/>
          <w:sz w:val="16"/>
        </w:rPr>
        <w:t>４　賃借人が不当に物件の引渡しを受けることを拒み又は遅らせたときは、売主は、直接賃借人に対し請求します。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第７条　物件が第三者の特許権、実用新案権、商標権、意匠権、著作権その他知的財産権に抵触したときは、売主は、売主の負担と責任により紛争を解決処理し、買主及び賃借人の蒙ったすべての損害を賠償します。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第８条　物件の引渡しが完了するまでの間、買主の責によらないでリース契約が締結されなかったとき若しくはリース契約が解除されたときは、買主は、無条件で注文を撤回し又はこの契約を解除することができます。</w:t>
      </w:r>
    </w:p>
    <w:p>
      <w:pPr>
        <w:pStyle w:val="0"/>
        <w:snapToGrid w:val="0"/>
        <w:ind w:left="358" w:hanging="358" w:hangingChars="224"/>
        <w:rPr>
          <w:rFonts w:hint="default" w:ascii="ＭＳ 明朝" w:hAnsi="ＭＳ 明朝"/>
          <w:sz w:val="16"/>
        </w:rPr>
      </w:pPr>
      <w:r>
        <w:rPr>
          <w:rFonts w:hint="eastAsia" w:ascii="ＭＳ 明朝" w:hAnsi="ＭＳ 明朝"/>
          <w:sz w:val="16"/>
        </w:rPr>
        <w:t>２　前項による注文の撤回又はこの契約の解除により売主が損害を蒙ったときは、売主は、この賠償請求を直接賃借人に対してなします。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第９条　第６条第２項又は前条第１項の規定により買主が注文を撤回し又はこの契約を解除した場合において、売主がこの契約に基づき買主から売買代金並びにこれに対する消費税額及び地方消費税額（以下併せて消費税等額という。）の全部又は一部の支払を受けているときは、売主は、当該売買代金及びこれに対する消費税等額にその支払を受けた日から完済までの日までこれに対する年</w:t>
      </w:r>
      <w:r>
        <w:rPr>
          <w:rFonts w:hint="eastAsia" w:ascii="ＭＳ 明朝" w:hAnsi="ＭＳ 明朝"/>
          <w:sz w:val="16"/>
        </w:rPr>
        <w:t>3</w:t>
      </w:r>
      <w:r>
        <w:rPr>
          <w:rFonts w:hint="default" w:ascii="ＭＳ 明朝" w:hAnsi="ＭＳ 明朝"/>
          <w:sz w:val="16"/>
        </w:rPr>
        <w:t>.0</w:t>
      </w:r>
      <w:r>
        <w:rPr>
          <w:rFonts w:hint="eastAsia" w:ascii="ＭＳ 明朝" w:hAnsi="ＭＳ 明朝"/>
          <w:sz w:val="16"/>
        </w:rPr>
        <w:t>％の割合（年</w:t>
      </w:r>
      <w:r>
        <w:rPr>
          <w:rFonts w:hint="default" w:ascii="ＭＳ 明朝" w:hAnsi="ＭＳ 明朝"/>
          <w:sz w:val="16"/>
        </w:rPr>
        <w:t>365</w:t>
      </w:r>
      <w:r>
        <w:rPr>
          <w:rFonts w:hint="default" w:ascii="ＭＳ 明朝" w:hAnsi="ＭＳ 明朝"/>
          <w:sz w:val="16"/>
        </w:rPr>
        <w:t>日の日割計算）による損害金を加算した金額を直ちに現金で買主に返還します。</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10</w:t>
      </w:r>
      <w:r>
        <w:rPr>
          <w:rFonts w:hint="default" w:ascii="ＭＳ 明朝" w:hAnsi="ＭＳ 明朝"/>
          <w:sz w:val="16"/>
        </w:rPr>
        <w:t>条　注文書発行後の課税法規の変更により公租公課が変更になったときは、</w:t>
      </w:r>
      <w:r>
        <w:rPr>
          <w:rFonts w:hint="eastAsia" w:ascii="ＭＳ 明朝" w:hAnsi="ＭＳ 明朝"/>
          <w:sz w:val="16"/>
        </w:rPr>
        <w:t>その負担は買主が負います。</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11</w:t>
      </w:r>
      <w:r>
        <w:rPr>
          <w:rFonts w:hint="eastAsia" w:ascii="ＭＳ 明朝" w:hAnsi="ＭＳ 明朝"/>
          <w:sz w:val="16"/>
        </w:rPr>
        <w:t>条　売主は、この契約に基づく権利を買主の承諾を得ることなく第三者に譲渡することができません。</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12</w:t>
      </w:r>
      <w:r>
        <w:rPr>
          <w:rFonts w:hint="eastAsia" w:ascii="ＭＳ 明朝" w:hAnsi="ＭＳ 明朝"/>
          <w:sz w:val="16"/>
        </w:rPr>
        <w:t>条　天災地変、争議、暴動その他の不可抗力、又は買主、売主若しくは賃借人の責に帰さない事由によるこの契約の全部又は一部の履行不能若しくは履行遅滞について、各当事者は、その責に任じません。</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13</w:t>
      </w:r>
      <w:r>
        <w:rPr>
          <w:rFonts w:hint="eastAsia" w:ascii="ＭＳ 明朝" w:hAnsi="ＭＳ 明朝"/>
          <w:sz w:val="16"/>
        </w:rPr>
        <w:t>条　物件にソフトウェアが含まれている場合において、リース契約が期間満了、契約解除その他の事由により終了したときは、買主は、速やかにその旨を売主に通知するものとし、買主が賃借人から受領したリース契約終了通知書の写しを売主に提出します。</w:t>
      </w:r>
    </w:p>
    <w:p>
      <w:pPr>
        <w:pStyle w:val="0"/>
        <w:autoSpaceDE w:val="0"/>
        <w:autoSpaceDN w:val="0"/>
        <w:adjustRightInd w:val="0"/>
        <w:snapToGrid w:val="0"/>
        <w:ind w:left="358" w:hanging="358" w:hangingChars="224"/>
        <w:jc w:val="left"/>
        <w:rPr>
          <w:rFonts w:hint="default" w:ascii="ＭＳ 明朝" w:hAnsi="ＭＳ 明朝"/>
          <w:kern w:val="0"/>
          <w:sz w:val="16"/>
        </w:rPr>
      </w:pPr>
      <w:r>
        <w:rPr>
          <w:rFonts w:hint="default" w:ascii="ＭＳ 明朝" w:hAnsi="ＭＳ 明朝"/>
          <w:sz w:val="16"/>
        </w:rPr>
        <w:t>第</w:t>
      </w:r>
      <w:r>
        <w:rPr>
          <w:rFonts w:hint="default" w:ascii="ＭＳ 明朝" w:hAnsi="ＭＳ 明朝"/>
          <w:sz w:val="16"/>
        </w:rPr>
        <w:t>14</w:t>
      </w:r>
      <w:r>
        <w:rPr>
          <w:rFonts w:hint="default" w:ascii="ＭＳ 明朝" w:hAnsi="ＭＳ 明朝"/>
          <w:sz w:val="16"/>
        </w:rPr>
        <w:t>条</w:t>
      </w:r>
      <w:r>
        <w:rPr>
          <w:rFonts w:hint="eastAsia" w:ascii="ＭＳ 明朝" w:hAnsi="ＭＳ 明朝"/>
          <w:sz w:val="16"/>
        </w:rPr>
        <w:t>　</w:t>
      </w:r>
      <w:r>
        <w:rPr>
          <w:rFonts w:hint="eastAsia" w:ascii="ＭＳ 明朝" w:hAnsi="ＭＳ 明朝"/>
          <w:kern w:val="0"/>
          <w:sz w:val="16"/>
        </w:rPr>
        <w:t>売主は、買主の権利を侵害しない範囲で賃借人と保守サービス契約書及びソフト使用権許諾契約書を別途締結できます。</w:t>
      </w:r>
    </w:p>
    <w:p>
      <w:pPr>
        <w:pStyle w:val="0"/>
        <w:autoSpaceDE w:val="0"/>
        <w:autoSpaceDN w:val="0"/>
        <w:adjustRightInd w:val="0"/>
        <w:snapToGrid w:val="0"/>
        <w:ind w:left="358" w:hanging="358" w:hangingChars="224"/>
        <w:jc w:val="left"/>
        <w:rPr>
          <w:rFonts w:hint="default" w:ascii="ＭＳ 明朝" w:hAnsi="ＭＳ 明朝"/>
          <w:sz w:val="16"/>
        </w:rPr>
      </w:pPr>
      <w:r>
        <w:rPr>
          <w:rFonts w:hint="eastAsia" w:ascii="ＭＳ 明朝" w:hAnsi="ＭＳ 明朝"/>
          <w:sz w:val="16"/>
        </w:rPr>
        <w:t>第</w:t>
      </w:r>
      <w:r>
        <w:rPr>
          <w:rFonts w:hint="default" w:ascii="ＭＳ 明朝" w:hAnsi="ＭＳ 明朝"/>
          <w:sz w:val="16"/>
        </w:rPr>
        <w:t>15</w:t>
      </w:r>
      <w:r>
        <w:rPr>
          <w:rFonts w:hint="default" w:ascii="ＭＳ 明朝" w:hAnsi="ＭＳ 明朝"/>
          <w:sz w:val="16"/>
        </w:rPr>
        <w:t>条　売主</w:t>
      </w:r>
      <w:r>
        <w:rPr>
          <w:rFonts w:hint="eastAsia" w:ascii="ＭＳ 明朝" w:hAnsi="ＭＳ 明朝"/>
          <w:sz w:val="16"/>
        </w:rPr>
        <w:t>及び買主は、この契約について反社会的勢力を排除すべく、次の各号のとおり合意します。</w:t>
      </w:r>
    </w:p>
    <w:p>
      <w:pPr>
        <w:pStyle w:val="0"/>
        <w:autoSpaceDE w:val="0"/>
        <w:autoSpaceDN w:val="0"/>
        <w:adjustRightInd w:val="0"/>
        <w:snapToGrid w:val="0"/>
        <w:ind w:left="938" w:leftChars="200" w:hanging="518" w:hangingChars="324"/>
        <w:jc w:val="left"/>
        <w:rPr>
          <w:rFonts w:hint="default" w:ascii="ＭＳ 明朝" w:hAnsi="ＭＳ 明朝"/>
          <w:sz w:val="16"/>
        </w:rPr>
      </w:pPr>
      <w:r>
        <w:rPr>
          <w:rFonts w:hint="eastAsia" w:ascii="ＭＳ 明朝" w:hAnsi="ＭＳ 明朝"/>
          <w:sz w:val="16"/>
        </w:rPr>
        <w:t>（１）自らが反社会的勢力（暴力団員による不当な行為の防止等に関する法律に定義する暴力団及びその関係団体等をいう。）でないこと、反社会的勢力でなかったこと、反社会的勢力を利用しないこと、反社会的勢力を名乗るなどして相手方の名誉・信用を毀損しもしくは業務の妨害を行い又は不当要求行為をなさないこと、自己の主要な出資者又は役職員が反社会的勢力の構成員でないことを表明し、保証します。</w:t>
      </w:r>
    </w:p>
    <w:p>
      <w:pPr>
        <w:pStyle w:val="0"/>
        <w:autoSpaceDE w:val="0"/>
        <w:autoSpaceDN w:val="0"/>
        <w:adjustRightInd w:val="0"/>
        <w:snapToGrid w:val="0"/>
        <w:ind w:left="938" w:leftChars="200" w:hanging="518" w:hangingChars="324"/>
        <w:jc w:val="left"/>
        <w:rPr>
          <w:rFonts w:hint="default" w:ascii="ＭＳ 明朝" w:hAnsi="ＭＳ 明朝"/>
          <w:sz w:val="16"/>
        </w:rPr>
      </w:pPr>
      <w:r>
        <w:rPr>
          <w:rFonts w:hint="eastAsia" w:ascii="ＭＳ 明朝" w:hAnsi="ＭＳ 明朝"/>
          <w:sz w:val="16"/>
        </w:rPr>
        <w:t>（２）売主及び買主は、相手方が第１号に違反したときは、この契約の全部又は一部を、相手方に対する通知、催告を要せずに解除することができます。</w:t>
      </w:r>
    </w:p>
    <w:p>
      <w:pPr>
        <w:pStyle w:val="0"/>
        <w:autoSpaceDE w:val="0"/>
        <w:autoSpaceDN w:val="0"/>
        <w:adjustRightInd w:val="0"/>
        <w:snapToGrid w:val="0"/>
        <w:ind w:left="938" w:leftChars="200" w:hanging="518" w:hangingChars="324"/>
        <w:jc w:val="left"/>
        <w:rPr>
          <w:rFonts w:hint="default" w:ascii="ＭＳ 明朝" w:hAnsi="ＭＳ 明朝"/>
          <w:sz w:val="16"/>
        </w:rPr>
      </w:pPr>
      <w:r>
        <w:rPr>
          <w:rFonts w:hint="eastAsia" w:ascii="ＭＳ 明朝" w:hAnsi="ＭＳ 明朝"/>
          <w:sz w:val="16"/>
        </w:rPr>
        <w:t>（３）売主及び買主は、相手方が第１号に違反したときは、この契約を解除するか否かにかかわらず、相手方に対して、自己に発生した損害の賠償を請求することができます。この場合において、当該当事者は、相手方に発生する損害を賠償する義務を負いません。</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16</w:t>
      </w:r>
      <w:r>
        <w:rPr>
          <w:rFonts w:hint="eastAsia" w:ascii="ＭＳ 明朝" w:hAnsi="ＭＳ 明朝"/>
          <w:sz w:val="16"/>
        </w:rPr>
        <w:t>条　この契約に関して疑義又は紛争が生じたときは、売主及び買主は、協議のうえ、円満に解決します。協議が調わないときは、売主及び買主は、東京地方裁判所又は東京簡易裁判所を第一審の専属的合意管轄裁判所とすることに合意します。</w:t>
      </w:r>
    </w:p>
    <w:p>
      <w:pPr>
        <w:pStyle w:val="0"/>
        <w:snapToGrid w:val="0"/>
        <w:ind w:left="378" w:right="-1" w:hanging="378" w:hangingChars="236"/>
        <w:rPr>
          <w:rFonts w:hint="default" w:ascii="ＭＳ 明朝" w:hAnsi="ＭＳ 明朝"/>
          <w:sz w:val="16"/>
        </w:rPr>
      </w:pPr>
      <w:r>
        <w:rPr>
          <w:rFonts w:hint="eastAsia" w:ascii="ＭＳ 明朝" w:hAnsi="ＭＳ 明朝"/>
          <w:sz w:val="16"/>
        </w:rPr>
        <w:t>第</w:t>
      </w:r>
      <w:r>
        <w:rPr>
          <w:rFonts w:hint="default" w:ascii="ＭＳ 明朝" w:hAnsi="ＭＳ 明朝"/>
          <w:sz w:val="16"/>
        </w:rPr>
        <w:t>17</w:t>
      </w:r>
      <w:r>
        <w:rPr>
          <w:rFonts w:hint="eastAsia" w:ascii="ＭＳ 明朝" w:hAnsi="ＭＳ 明朝"/>
          <w:sz w:val="16"/>
        </w:rPr>
        <w:t>条　特約条項欄に特約条件を定めたときは、その条項は、この契約と一体となり、これを補完し又は優先適用されるものであることを、売主及び買主は、異議なく承認します。</w:t>
      </w:r>
    </w:p>
    <w:p>
      <w:pPr>
        <w:pStyle w:val="0"/>
        <w:snapToGrid w:val="0"/>
        <w:ind w:left="378" w:hanging="378" w:hangingChars="236"/>
        <w:jc w:val="right"/>
        <w:rPr>
          <w:rFonts w:hint="default" w:ascii="ＭＳ 明朝" w:hAnsi="ＭＳ 明朝"/>
          <w:sz w:val="16"/>
        </w:rPr>
      </w:pPr>
      <w:r>
        <w:rPr>
          <w:rFonts w:hint="eastAsia" w:ascii="ＭＳ 明朝" w:hAnsi="ＭＳ 明朝"/>
          <w:sz w:val="16"/>
        </w:rPr>
        <w:t>（以下余白）</w:t>
      </w:r>
    </w:p>
    <w:p>
      <w:pPr>
        <w:rPr>
          <w:rFonts w:hint="default"/>
        </w:rPr>
        <w:sectPr>
          <w:type w:val="continuous"/>
          <w:pgSz w:w="11906" w:h="16838"/>
          <w:pgMar w:top="567" w:right="1134" w:bottom="567" w:left="1134" w:header="851" w:footer="992" w:gutter="0"/>
          <w:cols w:space="720"/>
          <w:textDirection w:val="lrTb"/>
          <w:docGrid w:type="lines" w:linePitch="360" w:charSpace="-3678"/>
        </w:sectPr>
      </w:pPr>
    </w:p>
    <w:p>
      <w:pPr>
        <w:pStyle w:val="0"/>
        <w:jc w:val="right"/>
        <w:rPr>
          <w:rFonts w:hint="default"/>
        </w:rPr>
      </w:pPr>
      <w:r>
        <w:rPr>
          <w:rFonts w:hint="eastAsia"/>
          <w:sz w:val="24"/>
        </w:rPr>
        <w:t>受注日　●●●●年●●月●●日</w:t>
      </w:r>
    </w:p>
    <w:p>
      <w:pPr>
        <w:pStyle w:val="0"/>
        <w:jc w:val="center"/>
        <w:rPr>
          <w:rFonts w:hint="default"/>
          <w:sz w:val="32"/>
        </w:rPr>
      </w:pPr>
      <w:r>
        <w:rPr>
          <w:rFonts w:hint="eastAsia"/>
          <w:sz w:val="32"/>
        </w:rPr>
        <w:t>注　文　請　書</w:t>
      </w:r>
    </w:p>
    <w:p>
      <w:pPr>
        <w:pStyle w:val="0"/>
        <w:rPr>
          <w:rFonts w:hint="default"/>
          <w:sz w:val="24"/>
        </w:rPr>
      </w:pPr>
      <w:r>
        <w:rPr>
          <w:rFonts w:hint="eastAsia"/>
          <w:sz w:val="24"/>
        </w:rPr>
        <w:t>（買主）</w:t>
      </w:r>
    </w:p>
    <w:p>
      <w:pPr>
        <w:pStyle w:val="0"/>
        <w:rPr>
          <w:rFonts w:hint="default"/>
          <w:sz w:val="24"/>
        </w:rPr>
      </w:pPr>
      <w:r>
        <w:rPr>
          <w:rFonts w:hint="eastAsia"/>
          <w:sz w:val="24"/>
        </w:rPr>
        <w:t>〔住所〕</w:t>
      </w:r>
    </w:p>
    <w:p>
      <w:pPr>
        <w:pStyle w:val="0"/>
        <w:tabs>
          <w:tab w:val="left" w:leader="none" w:pos="5954"/>
          <w:tab w:val="left" w:leader="none" w:pos="6096"/>
        </w:tabs>
        <w:rPr>
          <w:rFonts w:hint="default"/>
          <w:sz w:val="24"/>
        </w:rPr>
      </w:pPr>
      <w:r>
        <w:rPr>
          <w:rFonts w:hint="eastAsia"/>
          <w:sz w:val="24"/>
        </w:rPr>
        <w:t>〔リース会社名〕</w:t>
      </w:r>
    </w:p>
    <w:p>
      <w:pPr>
        <w:pStyle w:val="0"/>
        <w:tabs>
          <w:tab w:val="left" w:leader="none" w:pos="5954"/>
          <w:tab w:val="left" w:leader="none" w:pos="6096"/>
        </w:tabs>
        <w:rPr>
          <w:rFonts w:hint="default"/>
          <w:sz w:val="24"/>
        </w:rPr>
      </w:pPr>
    </w:p>
    <w:p>
      <w:pPr>
        <w:pStyle w:val="0"/>
        <w:ind w:left="5953" w:leftChars="2835"/>
        <w:rPr>
          <w:rFonts w:hint="default"/>
          <w:sz w:val="24"/>
        </w:rPr>
      </w:pPr>
      <w:r>
        <w:rPr>
          <w:rFonts w:hint="eastAsia"/>
          <w:sz w:val="24"/>
        </w:rPr>
        <w:t>（売主）</w:t>
      </w:r>
    </w:p>
    <w:p>
      <w:pPr>
        <w:pStyle w:val="0"/>
        <w:ind w:left="5953" w:leftChars="2835"/>
        <w:rPr>
          <w:rFonts w:hint="default"/>
          <w:sz w:val="22"/>
        </w:rPr>
      </w:pPr>
      <w:r>
        <w:rPr>
          <w:rFonts w:hint="default"/>
          <w:sz w:val="24"/>
        </w:rPr>
        <mc:AlternateContent>
          <mc:Choice Requires="wps">
            <w:drawing>
              <wp:anchor distT="0" distB="0" distL="114300" distR="114300" simplePos="0" relativeHeight="3" behindDoc="0" locked="0" layoutInCell="1" hidden="0" allowOverlap="1">
                <wp:simplePos x="0" y="0"/>
                <wp:positionH relativeFrom="column">
                  <wp:posOffset>-39370</wp:posOffset>
                </wp:positionH>
                <wp:positionV relativeFrom="paragraph">
                  <wp:posOffset>11430</wp:posOffset>
                </wp:positionV>
                <wp:extent cx="3362325" cy="1445260"/>
                <wp:effectExtent l="0" t="0" r="635" b="635"/>
                <wp:wrapNone/>
                <wp:docPr id="1027" name="Rectangle 8"/>
                <a:graphic xmlns:a="http://schemas.openxmlformats.org/drawingml/2006/main">
                  <a:graphicData uri="http://schemas.microsoft.com/office/word/2010/wordprocessingShape">
                    <wps:wsp>
                      <wps:cNvPr id="1027" name="Rectangle 8"/>
                      <wps:cNvSpPr>
                        <a:spLocks noChangeArrowheads="1"/>
                      </wps:cNvSpPr>
                      <wps:spPr>
                        <a:xfrm>
                          <a:off x="0" y="0"/>
                          <a:ext cx="3362325" cy="1445260"/>
                        </a:xfrm>
                        <a:prstGeom prst="rect">
                          <a:avLst/>
                        </a:prstGeom>
                        <a:solidFill>
                          <a:srgbClr val="FFFFFF"/>
                        </a:solidFill>
                        <a:ln>
                          <a:noFill/>
                        </a:ln>
                      </wps:spPr>
                      <wps:txbx>
                        <w:txbxContent>
                          <w:p>
                            <w:pPr>
                              <w:pStyle w:val="0"/>
                              <w:rPr>
                                <w:rFonts w:hint="default"/>
                                <w:sz w:val="22"/>
                              </w:rPr>
                            </w:pPr>
                            <w:r>
                              <w:rPr>
                                <w:rFonts w:hint="eastAsia"/>
                                <w:sz w:val="22"/>
                              </w:rPr>
                              <w:t>　買主と下記賃借人との間のリース契約の目的物件として、下記の物件を下記のとおり受注いたします。</w:t>
                            </w:r>
                          </w:p>
                          <w:p>
                            <w:pPr>
                              <w:pStyle w:val="0"/>
                              <w:rPr>
                                <w:rFonts w:hint="default"/>
                                <w:sz w:val="22"/>
                              </w:rPr>
                            </w:pPr>
                            <w:r>
                              <w:rPr>
                                <w:rFonts w:hint="eastAsia"/>
                                <w:sz w:val="22"/>
                              </w:rPr>
                              <w:t>　物件納入後、物件名を記入した納品書を請求書とともにご送付いたします。</w:t>
                            </w:r>
                          </w:p>
                        </w:txbxContent>
                      </wps:txbx>
                      <wps:bodyPr rot="0" vertOverflow="overflow" horzOverflow="overflow" wrap="square" lIns="74295" tIns="8890" rIns="74295" bIns="8890" anchor="t" anchorCtr="0" upright="1"/>
                    </wps:wsp>
                  </a:graphicData>
                </a:graphic>
              </wp:anchor>
            </w:drawing>
          </mc:Choice>
          <mc:Fallback>
            <w:pict>
              <v:rect id="Rectangle 8" style="mso-position-vertical-relative:text;z-index:3;mso-wrap-distance-left:9pt;width:264.75pt;height:113.8pt;mso-position-horizontal-relative:text;position:absolute;margin-left:-3.1pt;margin-top:0.9pt;mso-wrap-distance-bottom:0pt;mso-wrap-distance-right:9pt;mso-wrap-distance-top:0pt;v-text-anchor:top;" o:spid="_x0000_s1027" o:allowincell="t" o:allowoverlap="t" filled="t" fillcolor="#ffffff" stroked="f" o:spt="1">
                <v:fill/>
                <v:textbox style="layout-flow:horizontal;" inset="2.0637499999999998mm,0.24694444444444438mm,2.0637499999999998mm,0.24694444444444438mm">
                  <w:txbxContent>
                    <w:p>
                      <w:pPr>
                        <w:pStyle w:val="0"/>
                        <w:rPr>
                          <w:rFonts w:hint="default"/>
                          <w:sz w:val="22"/>
                        </w:rPr>
                      </w:pPr>
                      <w:r>
                        <w:rPr>
                          <w:rFonts w:hint="eastAsia"/>
                          <w:sz w:val="22"/>
                        </w:rPr>
                        <w:t>　買主と下記賃借人との間のリース契約の目的物件として、下記の物件を下記のとおり受注いたします。</w:t>
                      </w:r>
                    </w:p>
                    <w:p>
                      <w:pPr>
                        <w:pStyle w:val="0"/>
                        <w:rPr>
                          <w:rFonts w:hint="default"/>
                          <w:sz w:val="22"/>
                        </w:rPr>
                      </w:pPr>
                      <w:r>
                        <w:rPr>
                          <w:rFonts w:hint="eastAsia"/>
                          <w:sz w:val="22"/>
                        </w:rPr>
                        <w:t>　物件納入後、物件名を記入した納品書を請求書とともにご送付いたします。</w:t>
                      </w:r>
                    </w:p>
                  </w:txbxContent>
                </v:textbox>
                <v:imagedata o:title=""/>
                <w10:wrap type="none" anchorx="text" anchory="text"/>
              </v:rect>
            </w:pict>
          </mc:Fallback>
        </mc:AlternateContent>
      </w:r>
      <w:r>
        <w:rPr>
          <w:rFonts w:hint="eastAsia"/>
          <w:sz w:val="22"/>
        </w:rPr>
        <w:t>〔住所〕</w:t>
      </w:r>
    </w:p>
    <w:p>
      <w:pPr>
        <w:pStyle w:val="0"/>
        <w:ind w:left="5953" w:leftChars="2835"/>
        <w:rPr>
          <w:rFonts w:hint="default"/>
          <w:sz w:val="22"/>
        </w:rPr>
      </w:pPr>
      <w:r>
        <w:rPr>
          <w:rFonts w:hint="eastAsia"/>
          <w:sz w:val="22"/>
        </w:rPr>
        <w:t>富士フイルム</w:t>
      </w:r>
      <w:r>
        <w:rPr>
          <w:rFonts w:hint="eastAsia"/>
          <w:spacing w:val="-20"/>
          <w:sz w:val="22"/>
        </w:rPr>
        <w:t>システムサービス</w:t>
      </w:r>
      <w:r>
        <w:rPr>
          <w:rFonts w:hint="eastAsia"/>
          <w:sz w:val="22"/>
        </w:rPr>
        <w:t>株式会社</w:t>
      </w:r>
    </w:p>
    <w:p>
      <w:pPr>
        <w:pStyle w:val="0"/>
        <w:ind w:left="5953" w:leftChars="2835"/>
        <w:rPr>
          <w:rFonts w:hint="default"/>
          <w:sz w:val="22"/>
        </w:rPr>
      </w:pPr>
      <w:r>
        <w:rPr>
          <w:rFonts w:hint="eastAsia"/>
          <w:sz w:val="22"/>
        </w:rPr>
        <w:t>公共事業本部</w:t>
      </w:r>
      <w:r>
        <w:rPr>
          <w:rFonts w:hint="eastAsia"/>
          <w:sz w:val="22"/>
        </w:rPr>
        <w:t xml:space="preserve"> </w:t>
      </w:r>
      <w:r>
        <w:rPr>
          <w:rFonts w:hint="eastAsia"/>
          <w:sz w:val="22"/>
        </w:rPr>
        <w:t>東北支店</w:t>
      </w:r>
    </w:p>
    <w:p>
      <w:pPr>
        <w:pStyle w:val="0"/>
        <w:ind w:left="5953" w:leftChars="2835"/>
        <w:rPr>
          <w:rFonts w:hint="default"/>
          <w:sz w:val="22"/>
        </w:rPr>
      </w:pPr>
      <w:r>
        <w:rPr>
          <w:rFonts w:hint="eastAsia"/>
          <w:sz w:val="22"/>
        </w:rPr>
        <w:t>支店長　●●　●●　㊞</w:t>
      </w:r>
    </w:p>
    <w:p>
      <w:pPr>
        <w:pStyle w:val="0"/>
        <w:ind w:left="5953" w:leftChars="2835"/>
        <w:rPr>
          <w:rFonts w:hint="default"/>
          <w:sz w:val="24"/>
        </w:rPr>
      </w:pPr>
    </w:p>
    <w:p>
      <w:pPr>
        <w:pStyle w:val="0"/>
        <w:ind w:left="5953" w:leftChars="2835"/>
        <w:rPr>
          <w:rFonts w:hint="default"/>
          <w:sz w:val="20"/>
        </w:rPr>
      </w:pPr>
      <w:r>
        <w:rPr>
          <w:rFonts w:hint="eastAsia"/>
          <w:sz w:val="20"/>
        </w:rPr>
        <w:t>担当部課：●●●●●</w:t>
      </w:r>
    </w:p>
    <w:p>
      <w:pPr>
        <w:pStyle w:val="0"/>
        <w:ind w:left="5953" w:leftChars="2835"/>
        <w:rPr>
          <w:rFonts w:hint="default"/>
          <w:sz w:val="20"/>
        </w:rPr>
      </w:pPr>
      <w:r>
        <w:rPr>
          <w:rFonts w:hint="eastAsia"/>
          <w:sz w:val="20"/>
        </w:rPr>
        <w:t>担当者名：●●●●●</w:t>
      </w:r>
    </w:p>
    <w:p>
      <w:pPr>
        <w:pStyle w:val="0"/>
        <w:ind w:left="5953" w:leftChars="2835"/>
        <w:rPr>
          <w:rFonts w:hint="default"/>
          <w:sz w:val="20"/>
        </w:rPr>
      </w:pPr>
      <w:r>
        <w:rPr>
          <w:rFonts w:hint="eastAsia"/>
          <w:sz w:val="20"/>
        </w:rPr>
        <w:t>電話番号：●●●●●</w:t>
      </w:r>
    </w:p>
    <w:p>
      <w:pPr>
        <w:pStyle w:val="0"/>
        <w:ind w:firstLine="220" w:firstLineChars="100"/>
        <w:rPr>
          <w:rFonts w:hint="default"/>
          <w:sz w:val="22"/>
          <w:u w:val="single" w:color="auto"/>
        </w:rPr>
      </w:pPr>
    </w:p>
    <w:p>
      <w:pPr>
        <w:pStyle w:val="0"/>
        <w:ind w:firstLine="220" w:firstLineChars="100"/>
        <w:rPr>
          <w:rFonts w:hint="default"/>
          <w:sz w:val="22"/>
          <w:u w:val="single" w:color="auto"/>
        </w:rPr>
      </w:pPr>
      <w:r>
        <w:rPr>
          <w:rFonts w:hint="eastAsia"/>
          <w:sz w:val="22"/>
          <w:u w:val="single" w:color="auto"/>
        </w:rPr>
        <w:t>契約番号　　●●●●●　　　　　　　　　　　　　　　　　　　　　　　　　　　　　　　</w:t>
      </w:r>
    </w:p>
    <w:p>
      <w:pPr>
        <w:pStyle w:val="0"/>
        <w:ind w:firstLine="220" w:firstLineChars="100"/>
        <w:rPr>
          <w:rFonts w:hint="default"/>
          <w:sz w:val="22"/>
          <w:u w:val="single" w:color="auto"/>
        </w:rPr>
      </w:pPr>
      <w:r>
        <w:rPr>
          <w:rFonts w:hint="eastAsia"/>
          <w:sz w:val="22"/>
          <w:u w:val="single" w:color="auto"/>
        </w:rPr>
        <w:t>賃借人　　　青森県五所川原市</w:t>
      </w:r>
      <w:bookmarkStart w:id="0" w:name="_GoBack"/>
      <w:bookmarkEnd w:id="0"/>
      <w:r>
        <w:rPr>
          <w:rFonts w:hint="eastAsia"/>
          <w:sz w:val="22"/>
          <w:u w:val="single" w:color="auto"/>
        </w:rPr>
        <w:t>　　　　　　　　　　　　　　　　　　　　　　　　　　　　　　</w:t>
      </w:r>
    </w:p>
    <w:p>
      <w:pPr>
        <w:pStyle w:val="0"/>
        <w:ind w:firstLine="220" w:firstLineChars="100"/>
        <w:rPr>
          <w:rFonts w:hint="default"/>
          <w:sz w:val="22"/>
          <w:u w:val="single" w:color="auto"/>
        </w:rPr>
      </w:pPr>
      <w:r>
        <w:rPr>
          <w:rFonts w:hint="eastAsia"/>
          <w:sz w:val="22"/>
          <w:u w:val="single" w:color="auto"/>
        </w:rPr>
        <w:t>引渡期日　　●●●●年●●月●●日　　　　　　　　　　　　　　　　　　　　　　　　　</w:t>
      </w:r>
    </w:p>
    <w:p>
      <w:pPr>
        <w:pStyle w:val="0"/>
        <w:ind w:firstLine="220" w:firstLineChars="100"/>
        <w:rPr>
          <w:rFonts w:hint="default"/>
          <w:sz w:val="22"/>
          <w:u w:val="single" w:color="auto"/>
        </w:rPr>
      </w:pPr>
      <w:r>
        <w:rPr>
          <w:rFonts w:hint="eastAsia"/>
          <w:sz w:val="22"/>
          <w:u w:val="single" w:color="auto"/>
        </w:rPr>
        <w:t>引渡場所　　●●●●●　　　　　　　　　　　　　　　　　　　　　　　　　　　　　　　</w:t>
      </w:r>
    </w:p>
    <w:p>
      <w:pPr>
        <w:pStyle w:val="0"/>
        <w:ind w:firstLine="220" w:firstLineChars="100"/>
        <w:rPr>
          <w:rFonts w:hint="default"/>
          <w:sz w:val="22"/>
          <w:u w:val="single" w:color="auto"/>
        </w:rPr>
      </w:pPr>
      <w:r>
        <w:rPr>
          <w:rFonts w:hint="eastAsia"/>
          <w:sz w:val="22"/>
          <w:u w:val="single" w:color="auto"/>
        </w:rPr>
        <w:t>支払条件　　引渡し完了後３０日以内</w:t>
      </w:r>
      <w:r>
        <w:rPr>
          <w:rFonts w:hint="eastAsia"/>
          <w:sz w:val="22"/>
          <w:u w:val="single" w:color="auto"/>
        </w:rPr>
        <w:t xml:space="preserve"> </w:t>
      </w:r>
      <w:r>
        <w:rPr>
          <w:rFonts w:hint="eastAsia"/>
          <w:sz w:val="22"/>
          <w:u w:val="single" w:color="auto"/>
        </w:rPr>
        <w:t>　　　　　　　　　　　　　　　　　　　　　　</w:t>
      </w:r>
      <w:r>
        <w:rPr>
          <w:rFonts w:hint="eastAsia"/>
          <w:sz w:val="22"/>
          <w:u w:val="single" w:color="auto"/>
        </w:rPr>
        <w:t xml:space="preserve"> </w:t>
      </w:r>
      <w:r>
        <w:rPr>
          <w:rFonts w:hint="eastAsia"/>
          <w:sz w:val="22"/>
          <w:u w:val="single" w:color="auto"/>
        </w:rPr>
        <w:t>　　</w:t>
      </w:r>
    </w:p>
    <w:p>
      <w:pPr>
        <w:pStyle w:val="0"/>
        <w:rPr>
          <w:rFonts w:hint="default"/>
          <w:sz w:val="24"/>
        </w:rPr>
      </w:pP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254"/>
        <w:gridCol w:w="946"/>
        <w:gridCol w:w="1854"/>
        <w:gridCol w:w="1638"/>
        <w:gridCol w:w="1936"/>
      </w:tblGrid>
      <w:tr>
        <w:trPr/>
        <w:tc>
          <w:tcPr>
            <w:tcW w:w="3510" w:type="dxa"/>
            <w:vAlign w:val="top"/>
          </w:tcPr>
          <w:p>
            <w:pPr>
              <w:pStyle w:val="0"/>
              <w:jc w:val="center"/>
              <w:rPr>
                <w:rFonts w:hint="default"/>
                <w:sz w:val="22"/>
              </w:rPr>
            </w:pPr>
            <w:r>
              <w:rPr>
                <w:rFonts w:hint="eastAsia"/>
                <w:sz w:val="22"/>
              </w:rPr>
              <w:t>物件名及び明細</w:t>
            </w:r>
          </w:p>
        </w:tc>
        <w:tc>
          <w:tcPr>
            <w:tcW w:w="993" w:type="dxa"/>
            <w:vAlign w:val="top"/>
          </w:tcPr>
          <w:p>
            <w:pPr>
              <w:pStyle w:val="0"/>
              <w:jc w:val="center"/>
              <w:rPr>
                <w:rFonts w:hint="default"/>
                <w:sz w:val="22"/>
              </w:rPr>
            </w:pPr>
            <w:r>
              <w:rPr>
                <w:rFonts w:hint="eastAsia"/>
                <w:sz w:val="22"/>
              </w:rPr>
              <w:t>数量</w:t>
            </w:r>
          </w:p>
        </w:tc>
        <w:tc>
          <w:tcPr>
            <w:tcW w:w="1984" w:type="dxa"/>
            <w:vAlign w:val="top"/>
          </w:tcPr>
          <w:p>
            <w:pPr>
              <w:pStyle w:val="0"/>
              <w:jc w:val="center"/>
              <w:rPr>
                <w:rFonts w:hint="default"/>
                <w:sz w:val="22"/>
              </w:rPr>
            </w:pPr>
            <w:r>
              <w:rPr>
                <w:rFonts w:hint="eastAsia"/>
                <w:sz w:val="22"/>
              </w:rPr>
              <w:t>売買価額</w:t>
            </w:r>
          </w:p>
        </w:tc>
        <w:tc>
          <w:tcPr>
            <w:tcW w:w="1748" w:type="dxa"/>
            <w:vAlign w:val="top"/>
          </w:tcPr>
          <w:p>
            <w:pPr>
              <w:pStyle w:val="0"/>
              <w:jc w:val="center"/>
              <w:rPr>
                <w:rFonts w:hint="default"/>
                <w:sz w:val="22"/>
              </w:rPr>
            </w:pPr>
            <w:r>
              <w:rPr>
                <w:rFonts w:hint="eastAsia"/>
                <w:sz w:val="22"/>
              </w:rPr>
              <w:t>消費税等</w:t>
            </w:r>
          </w:p>
        </w:tc>
        <w:tc>
          <w:tcPr>
            <w:tcW w:w="2073" w:type="dxa"/>
            <w:vAlign w:val="top"/>
          </w:tcPr>
          <w:p>
            <w:pPr>
              <w:pStyle w:val="0"/>
              <w:jc w:val="center"/>
              <w:rPr>
                <w:rFonts w:hint="default"/>
                <w:sz w:val="22"/>
              </w:rPr>
            </w:pPr>
            <w:r>
              <w:rPr>
                <w:rFonts w:hint="eastAsia"/>
                <w:sz w:val="22"/>
              </w:rPr>
              <w:t>小計</w:t>
            </w:r>
          </w:p>
        </w:tc>
      </w:tr>
      <w:tr>
        <w:trPr/>
        <w:tc>
          <w:tcPr>
            <w:tcW w:w="3510" w:type="dxa"/>
            <w:vAlign w:val="top"/>
          </w:tcPr>
          <w:p>
            <w:pPr>
              <w:pStyle w:val="0"/>
              <w:rPr>
                <w:rFonts w:hint="default"/>
                <w:sz w:val="22"/>
              </w:rPr>
            </w:pPr>
          </w:p>
          <w:p>
            <w:pPr>
              <w:pStyle w:val="0"/>
              <w:rPr>
                <w:rFonts w:hint="default"/>
                <w:sz w:val="22"/>
              </w:rPr>
            </w:pPr>
          </w:p>
        </w:tc>
        <w:tc>
          <w:tcPr>
            <w:tcW w:w="993" w:type="dxa"/>
            <w:vAlign w:val="center"/>
          </w:tcPr>
          <w:p>
            <w:pPr>
              <w:pStyle w:val="0"/>
              <w:jc w:val="center"/>
              <w:rPr>
                <w:rFonts w:hint="default"/>
                <w:sz w:val="22"/>
              </w:rPr>
            </w:pPr>
          </w:p>
        </w:tc>
        <w:tc>
          <w:tcPr>
            <w:tcW w:w="1984" w:type="dxa"/>
            <w:vAlign w:val="center"/>
          </w:tcPr>
          <w:p>
            <w:pPr>
              <w:pStyle w:val="0"/>
              <w:jc w:val="right"/>
              <w:rPr>
                <w:rFonts w:hint="default"/>
                <w:sz w:val="22"/>
              </w:rPr>
            </w:pPr>
          </w:p>
        </w:tc>
        <w:tc>
          <w:tcPr>
            <w:tcW w:w="1748" w:type="dxa"/>
            <w:vAlign w:val="center"/>
          </w:tcPr>
          <w:p>
            <w:pPr>
              <w:pStyle w:val="0"/>
              <w:jc w:val="right"/>
              <w:rPr>
                <w:rFonts w:hint="default"/>
                <w:sz w:val="22"/>
              </w:rPr>
            </w:pPr>
          </w:p>
        </w:tc>
        <w:tc>
          <w:tcPr>
            <w:tcW w:w="2073" w:type="dxa"/>
            <w:vAlign w:val="center"/>
          </w:tcPr>
          <w:p>
            <w:pPr>
              <w:pStyle w:val="0"/>
              <w:jc w:val="right"/>
              <w:rPr>
                <w:rFonts w:hint="default"/>
                <w:sz w:val="22"/>
              </w:rPr>
            </w:pPr>
          </w:p>
        </w:tc>
      </w:tr>
      <w:tr>
        <w:trPr/>
        <w:tc>
          <w:tcPr>
            <w:tcW w:w="3510" w:type="dxa"/>
            <w:vAlign w:val="top"/>
          </w:tcPr>
          <w:p>
            <w:pPr>
              <w:pStyle w:val="0"/>
              <w:rPr>
                <w:rFonts w:hint="default"/>
                <w:sz w:val="22"/>
              </w:rPr>
            </w:pPr>
          </w:p>
          <w:p>
            <w:pPr>
              <w:pStyle w:val="0"/>
              <w:rPr>
                <w:rFonts w:hint="default"/>
                <w:sz w:val="22"/>
              </w:rPr>
            </w:pPr>
          </w:p>
        </w:tc>
        <w:tc>
          <w:tcPr>
            <w:tcW w:w="993" w:type="dxa"/>
            <w:vAlign w:val="center"/>
          </w:tcPr>
          <w:p>
            <w:pPr>
              <w:pStyle w:val="0"/>
              <w:jc w:val="center"/>
              <w:rPr>
                <w:rFonts w:hint="default"/>
                <w:sz w:val="22"/>
              </w:rPr>
            </w:pPr>
          </w:p>
        </w:tc>
        <w:tc>
          <w:tcPr>
            <w:tcW w:w="1984" w:type="dxa"/>
            <w:vAlign w:val="center"/>
          </w:tcPr>
          <w:p>
            <w:pPr>
              <w:pStyle w:val="0"/>
              <w:jc w:val="right"/>
              <w:rPr>
                <w:rFonts w:hint="default"/>
                <w:sz w:val="22"/>
              </w:rPr>
            </w:pPr>
          </w:p>
        </w:tc>
        <w:tc>
          <w:tcPr>
            <w:tcW w:w="1748" w:type="dxa"/>
            <w:vAlign w:val="center"/>
          </w:tcPr>
          <w:p>
            <w:pPr>
              <w:pStyle w:val="0"/>
              <w:jc w:val="right"/>
              <w:rPr>
                <w:rFonts w:hint="default"/>
                <w:sz w:val="22"/>
              </w:rPr>
            </w:pPr>
          </w:p>
        </w:tc>
        <w:tc>
          <w:tcPr>
            <w:tcW w:w="2073" w:type="dxa"/>
            <w:vAlign w:val="center"/>
          </w:tcPr>
          <w:p>
            <w:pPr>
              <w:pStyle w:val="0"/>
              <w:jc w:val="right"/>
              <w:rPr>
                <w:rFonts w:hint="default"/>
                <w:sz w:val="22"/>
              </w:rPr>
            </w:pPr>
          </w:p>
        </w:tc>
      </w:tr>
      <w:tr>
        <w:trPr/>
        <w:tc>
          <w:tcPr>
            <w:tcW w:w="3510" w:type="dxa"/>
            <w:vAlign w:val="top"/>
          </w:tcPr>
          <w:p>
            <w:pPr>
              <w:pStyle w:val="0"/>
              <w:rPr>
                <w:rFonts w:hint="default"/>
                <w:sz w:val="22"/>
              </w:rPr>
            </w:pPr>
          </w:p>
          <w:p>
            <w:pPr>
              <w:pStyle w:val="0"/>
              <w:rPr>
                <w:rFonts w:hint="default"/>
                <w:sz w:val="22"/>
              </w:rPr>
            </w:pPr>
          </w:p>
        </w:tc>
        <w:tc>
          <w:tcPr>
            <w:tcW w:w="993" w:type="dxa"/>
            <w:vAlign w:val="center"/>
          </w:tcPr>
          <w:p>
            <w:pPr>
              <w:pStyle w:val="0"/>
              <w:jc w:val="center"/>
              <w:rPr>
                <w:rFonts w:hint="default"/>
                <w:sz w:val="22"/>
              </w:rPr>
            </w:pPr>
          </w:p>
        </w:tc>
        <w:tc>
          <w:tcPr>
            <w:tcW w:w="1984" w:type="dxa"/>
            <w:vAlign w:val="center"/>
          </w:tcPr>
          <w:p>
            <w:pPr>
              <w:pStyle w:val="0"/>
              <w:jc w:val="right"/>
              <w:rPr>
                <w:rFonts w:hint="default"/>
                <w:sz w:val="22"/>
              </w:rPr>
            </w:pPr>
          </w:p>
        </w:tc>
        <w:tc>
          <w:tcPr>
            <w:tcW w:w="1748" w:type="dxa"/>
            <w:vAlign w:val="center"/>
          </w:tcPr>
          <w:p>
            <w:pPr>
              <w:pStyle w:val="0"/>
              <w:jc w:val="right"/>
              <w:rPr>
                <w:rFonts w:hint="default"/>
                <w:sz w:val="22"/>
              </w:rPr>
            </w:pPr>
          </w:p>
        </w:tc>
        <w:tc>
          <w:tcPr>
            <w:tcW w:w="2073" w:type="dxa"/>
            <w:vAlign w:val="center"/>
          </w:tcPr>
          <w:p>
            <w:pPr>
              <w:pStyle w:val="0"/>
              <w:jc w:val="right"/>
              <w:rPr>
                <w:rFonts w:hint="default"/>
                <w:sz w:val="22"/>
              </w:rPr>
            </w:pPr>
          </w:p>
        </w:tc>
      </w:tr>
      <w:tr>
        <w:trPr/>
        <w:tc>
          <w:tcPr>
            <w:tcW w:w="3510" w:type="dxa"/>
            <w:vAlign w:val="top"/>
          </w:tcPr>
          <w:p>
            <w:pPr>
              <w:pStyle w:val="0"/>
              <w:rPr>
                <w:rFonts w:hint="default"/>
                <w:sz w:val="22"/>
              </w:rPr>
            </w:pPr>
          </w:p>
          <w:p>
            <w:pPr>
              <w:pStyle w:val="0"/>
              <w:rPr>
                <w:rFonts w:hint="default"/>
                <w:sz w:val="22"/>
              </w:rPr>
            </w:pPr>
          </w:p>
        </w:tc>
        <w:tc>
          <w:tcPr>
            <w:tcW w:w="993" w:type="dxa"/>
            <w:vAlign w:val="center"/>
          </w:tcPr>
          <w:p>
            <w:pPr>
              <w:pStyle w:val="0"/>
              <w:jc w:val="center"/>
              <w:rPr>
                <w:rFonts w:hint="default"/>
                <w:sz w:val="22"/>
              </w:rPr>
            </w:pPr>
          </w:p>
        </w:tc>
        <w:tc>
          <w:tcPr>
            <w:tcW w:w="1984" w:type="dxa"/>
            <w:vAlign w:val="center"/>
          </w:tcPr>
          <w:p>
            <w:pPr>
              <w:pStyle w:val="0"/>
              <w:jc w:val="right"/>
              <w:rPr>
                <w:rFonts w:hint="default"/>
                <w:sz w:val="22"/>
              </w:rPr>
            </w:pPr>
          </w:p>
        </w:tc>
        <w:tc>
          <w:tcPr>
            <w:tcW w:w="1748" w:type="dxa"/>
            <w:vAlign w:val="center"/>
          </w:tcPr>
          <w:p>
            <w:pPr>
              <w:pStyle w:val="0"/>
              <w:jc w:val="right"/>
              <w:rPr>
                <w:rFonts w:hint="default"/>
                <w:sz w:val="22"/>
              </w:rPr>
            </w:pPr>
          </w:p>
        </w:tc>
        <w:tc>
          <w:tcPr>
            <w:tcW w:w="2073" w:type="dxa"/>
            <w:vAlign w:val="center"/>
          </w:tcPr>
          <w:p>
            <w:pPr>
              <w:pStyle w:val="0"/>
              <w:jc w:val="right"/>
              <w:rPr>
                <w:rFonts w:hint="default"/>
                <w:sz w:val="22"/>
              </w:rPr>
            </w:pPr>
          </w:p>
        </w:tc>
      </w:tr>
      <w:tr>
        <w:trPr/>
        <w:tc>
          <w:tcPr>
            <w:tcW w:w="3510" w:type="dxa"/>
            <w:vAlign w:val="top"/>
          </w:tcPr>
          <w:p>
            <w:pPr>
              <w:pStyle w:val="0"/>
              <w:rPr>
                <w:rFonts w:hint="default"/>
                <w:sz w:val="22"/>
              </w:rPr>
            </w:pPr>
          </w:p>
          <w:p>
            <w:pPr>
              <w:pStyle w:val="0"/>
              <w:rPr>
                <w:rFonts w:hint="default"/>
                <w:sz w:val="22"/>
              </w:rPr>
            </w:pPr>
          </w:p>
        </w:tc>
        <w:tc>
          <w:tcPr>
            <w:tcW w:w="993" w:type="dxa"/>
            <w:vAlign w:val="center"/>
          </w:tcPr>
          <w:p>
            <w:pPr>
              <w:pStyle w:val="0"/>
              <w:jc w:val="center"/>
              <w:rPr>
                <w:rFonts w:hint="default"/>
                <w:sz w:val="22"/>
              </w:rPr>
            </w:pPr>
          </w:p>
        </w:tc>
        <w:tc>
          <w:tcPr>
            <w:tcW w:w="1984" w:type="dxa"/>
            <w:vAlign w:val="center"/>
          </w:tcPr>
          <w:p>
            <w:pPr>
              <w:pStyle w:val="0"/>
              <w:jc w:val="right"/>
              <w:rPr>
                <w:rFonts w:hint="default"/>
                <w:sz w:val="22"/>
              </w:rPr>
            </w:pPr>
          </w:p>
        </w:tc>
        <w:tc>
          <w:tcPr>
            <w:tcW w:w="1748" w:type="dxa"/>
            <w:vAlign w:val="center"/>
          </w:tcPr>
          <w:p>
            <w:pPr>
              <w:pStyle w:val="0"/>
              <w:jc w:val="right"/>
              <w:rPr>
                <w:rFonts w:hint="default"/>
                <w:sz w:val="22"/>
              </w:rPr>
            </w:pPr>
          </w:p>
        </w:tc>
        <w:tc>
          <w:tcPr>
            <w:tcW w:w="2073" w:type="dxa"/>
            <w:vAlign w:val="center"/>
          </w:tcPr>
          <w:p>
            <w:pPr>
              <w:pStyle w:val="0"/>
              <w:jc w:val="right"/>
              <w:rPr>
                <w:rFonts w:hint="default"/>
                <w:sz w:val="22"/>
              </w:rPr>
            </w:pPr>
          </w:p>
        </w:tc>
      </w:tr>
      <w:tr>
        <w:trPr>
          <w:trHeight w:val="663" w:hRule="atLeast"/>
        </w:trPr>
        <w:tc>
          <w:tcPr>
            <w:tcW w:w="3510" w:type="dxa"/>
            <w:vAlign w:val="center"/>
          </w:tcPr>
          <w:p>
            <w:pPr>
              <w:pStyle w:val="0"/>
              <w:jc w:val="center"/>
              <w:rPr>
                <w:rFonts w:hint="default"/>
                <w:sz w:val="22"/>
              </w:rPr>
            </w:pPr>
            <w:r>
              <w:rPr>
                <w:rFonts w:hint="eastAsia"/>
                <w:sz w:val="22"/>
              </w:rPr>
              <w:t>合計</w:t>
            </w:r>
          </w:p>
        </w:tc>
        <w:tc>
          <w:tcPr>
            <w:tcW w:w="993" w:type="dxa"/>
            <w:vAlign w:val="center"/>
          </w:tcPr>
          <w:p>
            <w:pPr>
              <w:pStyle w:val="0"/>
              <w:jc w:val="center"/>
              <w:rPr>
                <w:rFonts w:hint="default"/>
                <w:sz w:val="22"/>
              </w:rPr>
            </w:pPr>
          </w:p>
        </w:tc>
        <w:tc>
          <w:tcPr>
            <w:tcW w:w="1984" w:type="dxa"/>
            <w:vAlign w:val="center"/>
          </w:tcPr>
          <w:p>
            <w:pPr>
              <w:pStyle w:val="0"/>
              <w:jc w:val="right"/>
              <w:rPr>
                <w:rFonts w:hint="default"/>
                <w:sz w:val="22"/>
              </w:rPr>
            </w:pPr>
          </w:p>
        </w:tc>
        <w:tc>
          <w:tcPr>
            <w:tcW w:w="1748" w:type="dxa"/>
            <w:vAlign w:val="center"/>
          </w:tcPr>
          <w:p>
            <w:pPr>
              <w:pStyle w:val="0"/>
              <w:jc w:val="right"/>
              <w:rPr>
                <w:rFonts w:hint="default"/>
                <w:sz w:val="22"/>
              </w:rPr>
            </w:pPr>
          </w:p>
        </w:tc>
        <w:tc>
          <w:tcPr>
            <w:tcW w:w="2073" w:type="dxa"/>
            <w:vAlign w:val="center"/>
          </w:tcPr>
          <w:p>
            <w:pPr>
              <w:pStyle w:val="0"/>
              <w:jc w:val="right"/>
              <w:rPr>
                <w:rFonts w:hint="default"/>
                <w:sz w:val="22"/>
              </w:rPr>
            </w:pPr>
          </w:p>
        </w:tc>
      </w:tr>
      <w:tr>
        <w:trPr/>
        <w:tc>
          <w:tcPr>
            <w:tcW w:w="10308" w:type="dxa"/>
            <w:gridSpan w:val="5"/>
            <w:vAlign w:val="top"/>
          </w:tcPr>
          <w:p>
            <w:pPr>
              <w:pStyle w:val="0"/>
              <w:rPr>
                <w:rFonts w:hint="default"/>
                <w:sz w:val="22"/>
              </w:rPr>
            </w:pPr>
            <w:r>
              <w:rPr>
                <w:rFonts w:hint="eastAsia"/>
                <w:sz w:val="22"/>
              </w:rPr>
              <w:t>特約条項</w:t>
            </w:r>
          </w:p>
          <w:p>
            <w:pPr>
              <w:pStyle w:val="0"/>
              <w:rPr>
                <w:rFonts w:hint="default"/>
                <w:sz w:val="22"/>
              </w:rPr>
            </w:pPr>
          </w:p>
          <w:p>
            <w:pPr>
              <w:pStyle w:val="0"/>
              <w:rPr>
                <w:rFonts w:hint="default"/>
                <w:sz w:val="22"/>
              </w:rPr>
            </w:pPr>
          </w:p>
          <w:p>
            <w:pPr>
              <w:pStyle w:val="0"/>
              <w:rPr>
                <w:rFonts w:hint="default"/>
                <w:sz w:val="22"/>
              </w:rPr>
            </w:pPr>
          </w:p>
          <w:p>
            <w:pPr>
              <w:pStyle w:val="0"/>
              <w:rPr>
                <w:rFonts w:hint="default"/>
                <w:sz w:val="22"/>
              </w:rPr>
            </w:pPr>
          </w:p>
        </w:tc>
      </w:tr>
    </w:tbl>
    <w:p>
      <w:pPr>
        <w:pStyle w:val="0"/>
        <w:widowControl w:val="1"/>
        <w:jc w:val="left"/>
        <w:rPr>
          <w:rFonts w:hint="default"/>
          <w:sz w:val="24"/>
        </w:rPr>
      </w:pPr>
    </w:p>
    <w:p>
      <w:pPr>
        <w:pStyle w:val="0"/>
        <w:widowControl w:val="1"/>
        <w:jc w:val="center"/>
        <w:rPr>
          <w:rFonts w:hint="default"/>
          <w:sz w:val="24"/>
        </w:rPr>
      </w:pPr>
      <w:r>
        <w:rPr>
          <w:rFonts w:hint="default"/>
          <w:sz w:val="24"/>
        </w:rPr>
        <w:br w:type="page"/>
      </w:r>
      <w:r>
        <w:rPr>
          <w:rFonts w:hint="eastAsia"/>
          <w:sz w:val="24"/>
        </w:rPr>
        <w:t>売</w:t>
      </w:r>
      <w:r>
        <w:rPr>
          <w:rFonts w:hint="eastAsia"/>
          <w:sz w:val="24"/>
        </w:rPr>
        <w:t xml:space="preserve"> </w:t>
      </w:r>
      <w:r>
        <w:rPr>
          <w:rFonts w:hint="eastAsia"/>
          <w:sz w:val="24"/>
        </w:rPr>
        <w:t>買</w:t>
      </w:r>
      <w:r>
        <w:rPr>
          <w:rFonts w:hint="eastAsia"/>
          <w:sz w:val="24"/>
        </w:rPr>
        <w:t xml:space="preserve"> </w:t>
      </w:r>
      <w:r>
        <w:rPr>
          <w:rFonts w:hint="eastAsia"/>
          <w:sz w:val="24"/>
        </w:rPr>
        <w:t>条</w:t>
      </w:r>
      <w:r>
        <w:rPr>
          <w:rFonts w:hint="eastAsia"/>
          <w:sz w:val="24"/>
        </w:rPr>
        <w:t xml:space="preserve"> </w:t>
      </w:r>
      <w:r>
        <w:rPr>
          <w:rFonts w:hint="eastAsia"/>
          <w:sz w:val="24"/>
        </w:rPr>
        <w:t>項</w:t>
      </w:r>
    </w:p>
    <w:p>
      <w:pPr>
        <w:rPr>
          <w:rFonts w:hint="default"/>
          <w:sz w:val="24"/>
        </w:rPr>
        <w:sectPr>
          <w:pgSz w:w="11906" w:h="16838"/>
          <w:pgMar w:top="567" w:right="1134" w:bottom="567" w:left="1134" w:header="851" w:footer="283" w:gutter="0"/>
          <w:cols w:space="720"/>
          <w:formProt w:val="0"/>
          <w:textDirection w:val="lrTb"/>
          <w:docGrid w:type="lines" w:linePitch="360" w:charSpace="88582"/>
        </w:sectPr>
      </w:pPr>
    </w:p>
    <w:p>
      <w:pPr>
        <w:pStyle w:val="0"/>
        <w:snapToGrid w:val="0"/>
        <w:ind w:left="358" w:hanging="358" w:hangingChars="224"/>
        <w:rPr>
          <w:rFonts w:hint="default" w:ascii="ＭＳ 明朝" w:hAnsi="ＭＳ 明朝"/>
          <w:sz w:val="16"/>
        </w:rPr>
      </w:pPr>
      <w:r>
        <w:rPr>
          <w:rFonts w:hint="eastAsia" w:ascii="ＭＳ 明朝" w:hAnsi="ＭＳ 明朝"/>
          <w:sz w:val="16"/>
        </w:rPr>
        <w:t>第１条　この契約による物件（ソフトウェア付きの場合は当該ソフトウェアを含む。以下物件という。）は、表記賃借人（以下賃借人という。）が売主との間で選定し、賃借人と買主との間で締結する賃貸借契約（以下リース契約という。）の目的条件として、賃借人が指定した規格、仕様、機能、品質、性能、納入条件等に基づき発注されたものであることを確認します。</w:t>
      </w:r>
    </w:p>
    <w:p>
      <w:pPr>
        <w:pStyle w:val="0"/>
        <w:autoSpaceDE w:val="0"/>
        <w:autoSpaceDN w:val="0"/>
        <w:adjustRightInd w:val="0"/>
        <w:snapToGrid w:val="0"/>
        <w:ind w:left="358" w:hanging="358" w:hangingChars="224"/>
        <w:jc w:val="left"/>
        <w:rPr>
          <w:rFonts w:hint="default" w:ascii="ＭＳ 明朝" w:hAnsi="ＭＳ 明朝"/>
          <w:sz w:val="16"/>
        </w:rPr>
      </w:pPr>
      <w:r>
        <w:rPr>
          <w:rFonts w:hint="eastAsia" w:ascii="ＭＳ 明朝" w:hAnsi="ＭＳ 明朝"/>
          <w:kern w:val="0"/>
          <w:sz w:val="16"/>
        </w:rPr>
        <w:t>２　</w:t>
      </w:r>
      <w:r>
        <w:rPr>
          <w:rFonts w:hint="eastAsia" w:ascii="ＭＳ 明朝" w:hAnsi="ＭＳ 明朝"/>
          <w:sz w:val="16"/>
        </w:rPr>
        <w:t>物件にソフトウェアが含まれている場合、買主は賃借人に対してのみ実施可能な</w:t>
      </w:r>
      <w:r>
        <w:rPr>
          <w:rFonts w:hint="eastAsia" w:ascii="ＭＳ 明朝" w:hAnsi="ＭＳ 明朝"/>
          <w:kern w:val="0"/>
          <w:sz w:val="16"/>
        </w:rPr>
        <w:t>ソフトウェアの</w:t>
      </w:r>
      <w:r>
        <w:rPr>
          <w:rFonts w:hint="eastAsia" w:ascii="ＭＳ 明朝" w:hAnsi="ＭＳ 明朝"/>
          <w:sz w:val="16"/>
        </w:rPr>
        <w:t>再使用許諾権のみ</w:t>
      </w:r>
      <w:r>
        <w:rPr>
          <w:rFonts w:hint="eastAsia" w:ascii="ＭＳ 明朝" w:hAnsi="ＭＳ 明朝"/>
          <w:kern w:val="0"/>
          <w:sz w:val="16"/>
        </w:rPr>
        <w:t>を取得するものとし、売主の承諾がない限り、賃借人以外に再使用許諾権を実施できません。また、買主は自らソフトウェアを使用することはできません。</w:t>
      </w:r>
    </w:p>
    <w:p>
      <w:pPr>
        <w:pStyle w:val="0"/>
        <w:snapToGrid w:val="0"/>
        <w:ind w:left="358" w:hanging="358" w:hangingChars="224"/>
        <w:rPr>
          <w:rFonts w:hint="default" w:ascii="ＭＳ 明朝" w:hAnsi="ＭＳ 明朝"/>
          <w:sz w:val="16"/>
        </w:rPr>
      </w:pPr>
      <w:r>
        <w:rPr>
          <w:rFonts w:hint="eastAsia" w:ascii="ＭＳ 明朝" w:hAnsi="ＭＳ 明朝"/>
          <w:sz w:val="16"/>
        </w:rPr>
        <w:t>３　</w:t>
      </w:r>
      <w:r>
        <w:rPr>
          <w:rFonts w:hint="eastAsia" w:ascii="ＭＳ 明朝" w:hAnsi="ＭＳ 明朝"/>
          <w:kern w:val="0"/>
          <w:sz w:val="16"/>
        </w:rPr>
        <w:t>売主は、物件に関し、賃借人と売主の間で合意された契約又は仕様の範囲でのみ責任を負います。</w:t>
      </w:r>
    </w:p>
    <w:p>
      <w:pPr>
        <w:pStyle w:val="0"/>
        <w:snapToGrid w:val="0"/>
        <w:ind w:left="358" w:hanging="358" w:hangingChars="224"/>
        <w:rPr>
          <w:rFonts w:hint="default" w:ascii="ＭＳ 明朝" w:hAnsi="ＭＳ 明朝"/>
          <w:sz w:val="16"/>
        </w:rPr>
      </w:pPr>
      <w:r>
        <w:rPr>
          <w:rFonts w:hint="eastAsia" w:ascii="ＭＳ 明朝" w:hAnsi="ＭＳ 明朝"/>
          <w:sz w:val="16"/>
        </w:rPr>
        <w:t>第２条　この契約は、リース契約が有効に成立することを停止条件とし、かつ、買主が売主から注文請書を受領したときに成立します。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第３条　売主は、物件を引渡場所に搬入したときから第２項の引渡完了までの間、賃借人をして、売主のために物件を保管させます。</w:t>
      </w:r>
    </w:p>
    <w:p>
      <w:pPr>
        <w:pStyle w:val="0"/>
        <w:snapToGrid w:val="0"/>
        <w:ind w:left="358" w:hanging="358" w:hangingChars="224"/>
        <w:rPr>
          <w:rFonts w:hint="default" w:ascii="ＭＳ 明朝" w:hAnsi="ＭＳ 明朝"/>
          <w:sz w:val="16"/>
        </w:rPr>
      </w:pPr>
      <w:r>
        <w:rPr>
          <w:rFonts w:hint="eastAsia" w:ascii="ＭＳ 明朝" w:hAnsi="ＭＳ 明朝"/>
          <w:sz w:val="16"/>
        </w:rPr>
        <w:t>２　売主が物件を引渡場所に搬入した後、賃借人が物件に規格、仕様、機能、品質、性能等に不具合がないことを検査、確認し、買主に対しリース契約に基づく物件借受証を交付したときに、売主から買主に対する物件の引渡しが完了したものと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第４条　物件の所有権及び物件に生じた火災、盗難、紛失、毀損等の危険負担は、物件の引渡しが完了したときに、売主から買主に移転します。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第５条　物件の規格、仕様、機能、品質、性能、納入条件その他については、すべて賃借人の使用目的に合致させることを、売主は、賃借人及び買主に対し保証します。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第６条　物件に関する不適合責任、期間内保証、保守サービスその他売主の便益の供与、義務の履行については、売主が賃借人に対し直接その責任を負います。売主が自己の責に帰すべき事由による物件の引渡遅延又は引渡不能によって賃借人に損害を与えたときも同様とします。</w:t>
      </w:r>
    </w:p>
    <w:p>
      <w:pPr>
        <w:pStyle w:val="0"/>
        <w:snapToGrid w:val="0"/>
        <w:ind w:left="358" w:hanging="358" w:hangingChars="224"/>
        <w:rPr>
          <w:rFonts w:hint="default" w:ascii="ＭＳ 明朝" w:hAnsi="ＭＳ 明朝"/>
          <w:sz w:val="16"/>
        </w:rPr>
      </w:pPr>
      <w:r>
        <w:rPr>
          <w:rFonts w:hint="eastAsia" w:ascii="ＭＳ 明朝" w:hAnsi="ＭＳ 明朝"/>
          <w:sz w:val="16"/>
        </w:rPr>
        <w:t>２　物件の引渡しの前後を問わず、次の各号の一つに該当したときは、買主から売主に対する通知が遅延した場合においても、売主は、前項とは別に、買主に対し、契約の全部若しくは一部の解除、補修、代品交換又は損害賠償（買主の得べかりし利益を含む。）の請求に応じます。</w:t>
      </w:r>
    </w:p>
    <w:p>
      <w:pPr>
        <w:pStyle w:val="0"/>
        <w:snapToGrid w:val="0"/>
        <w:ind w:left="755" w:hanging="755" w:hangingChars="472"/>
        <w:rPr>
          <w:rFonts w:hint="default" w:ascii="ＭＳ 明朝" w:hAnsi="ＭＳ 明朝"/>
          <w:sz w:val="16"/>
        </w:rPr>
      </w:pPr>
      <w:r>
        <w:rPr>
          <w:rFonts w:hint="eastAsia" w:ascii="ＭＳ 明朝" w:hAnsi="ＭＳ 明朝"/>
          <w:sz w:val="16"/>
        </w:rPr>
        <w:t>　　（１）物件に品質又は性能の不良、規格又は仕様の不一致その他の不具合があったとき。</w:t>
      </w:r>
    </w:p>
    <w:p>
      <w:pPr>
        <w:pStyle w:val="0"/>
        <w:snapToGrid w:val="0"/>
        <w:ind w:left="755" w:hanging="755" w:hangingChars="472"/>
        <w:rPr>
          <w:rFonts w:hint="default" w:ascii="ＭＳ 明朝" w:hAnsi="ＭＳ 明朝"/>
          <w:sz w:val="16"/>
        </w:rPr>
      </w:pPr>
      <w:r>
        <w:rPr>
          <w:rFonts w:hint="eastAsia" w:ascii="ＭＳ 明朝" w:hAnsi="ＭＳ 明朝"/>
          <w:sz w:val="16"/>
        </w:rPr>
        <w:t>　　（２）売主に売買条件又は保証保守義務の違反その他の契約違反があったとき。</w:t>
      </w:r>
    </w:p>
    <w:p>
      <w:pPr>
        <w:pStyle w:val="0"/>
        <w:snapToGrid w:val="0"/>
        <w:ind w:left="755" w:hanging="755" w:hangingChars="472"/>
        <w:rPr>
          <w:rFonts w:hint="default" w:ascii="ＭＳ 明朝" w:hAnsi="ＭＳ 明朝"/>
          <w:sz w:val="16"/>
        </w:rPr>
      </w:pPr>
      <w:r>
        <w:rPr>
          <w:rFonts w:hint="eastAsia" w:ascii="ＭＳ 明朝" w:hAnsi="ＭＳ 明朝"/>
          <w:sz w:val="16"/>
        </w:rPr>
        <w:t>　　（３）賃借人が第１号又は前号の事由に基づき買主に対し異議若しくは苦情の申立、損害賠償の請求をなしたとき、又は賃借人が物件の受領を拒んだとき。</w:t>
      </w:r>
    </w:p>
    <w:p>
      <w:pPr>
        <w:pStyle w:val="0"/>
        <w:snapToGrid w:val="0"/>
        <w:ind w:left="358" w:hanging="358" w:hangingChars="224"/>
        <w:rPr>
          <w:rFonts w:hint="default" w:ascii="ＭＳ 明朝" w:hAnsi="ＭＳ 明朝"/>
          <w:sz w:val="16"/>
        </w:rPr>
      </w:pPr>
      <w:r>
        <w:rPr>
          <w:rFonts w:hint="eastAsia" w:ascii="ＭＳ 明朝" w:hAnsi="ＭＳ 明朝"/>
          <w:sz w:val="16"/>
        </w:rPr>
        <w:t>３　前項の場合において、買主が前項の請求権を買主としての地位とともに、又は地位と切り離して賃借人に譲渡しても、売主は何ら異議を述べません。</w:t>
      </w:r>
    </w:p>
    <w:p>
      <w:pPr>
        <w:pStyle w:val="0"/>
        <w:snapToGrid w:val="0"/>
        <w:ind w:left="358" w:hanging="358" w:hangingChars="224"/>
        <w:rPr>
          <w:rFonts w:hint="default" w:ascii="ＭＳ 明朝" w:hAnsi="ＭＳ 明朝"/>
          <w:sz w:val="16"/>
        </w:rPr>
      </w:pPr>
      <w:r>
        <w:rPr>
          <w:rFonts w:hint="eastAsia" w:ascii="ＭＳ 明朝" w:hAnsi="ＭＳ 明朝"/>
          <w:sz w:val="16"/>
        </w:rPr>
        <w:t>４　賃借人が不当に物件の引渡しを受けることを拒み又は遅らせたときは、売主は、直接賃借人に対し請求します。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第７条　物件が第三者の特許権、実用新案権、商標権、意匠権、著作権その他知的財産権に抵触したときは、売主は、売主の負担と責任により紛争を解決処理し、買主及び賃借人の蒙ったすべての損害を賠償します。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第８条　物件の引渡しが完了するまでの間、買主の責によらないでリース契約が締結されなかったとき若しくはリース契約が解除されたときは、買主は、無条件で注文を撤回し又はこの契約を解除することができます。</w:t>
      </w:r>
    </w:p>
    <w:p>
      <w:pPr>
        <w:pStyle w:val="0"/>
        <w:snapToGrid w:val="0"/>
        <w:ind w:left="358" w:hanging="358" w:hangingChars="224"/>
        <w:rPr>
          <w:rFonts w:hint="default" w:ascii="ＭＳ 明朝" w:hAnsi="ＭＳ 明朝"/>
          <w:sz w:val="16"/>
        </w:rPr>
      </w:pPr>
      <w:r>
        <w:rPr>
          <w:rFonts w:hint="eastAsia" w:ascii="ＭＳ 明朝" w:hAnsi="ＭＳ 明朝"/>
          <w:sz w:val="16"/>
        </w:rPr>
        <w:t>２　前項による注文の撤回又はこの契約の解除により売主が損害を蒙ったときは、売主は、この賠償請求を直接賃借人に対してなします。</w:t>
      </w:r>
    </w:p>
    <w:p>
      <w:pPr>
        <w:pStyle w:val="0"/>
        <w:snapToGrid w:val="0"/>
        <w:ind w:left="358" w:hanging="358" w:hangingChars="224"/>
        <w:rPr>
          <w:rFonts w:hint="default" w:ascii="ＭＳ 明朝" w:hAnsi="ＭＳ 明朝"/>
          <w:sz w:val="16"/>
        </w:rPr>
      </w:pPr>
      <w:r>
        <w:rPr>
          <w:rFonts w:hint="eastAsia" w:ascii="ＭＳ 明朝" w:hAnsi="ＭＳ 明朝"/>
          <w:sz w:val="16"/>
        </w:rPr>
        <w:t>第９条　第６条第２項又は前条第１項の規定により買主が注文を撤回し又はこの契約を解除した場合において、売主がこの契約に基づき買主から売買代金並びにこれに対する消費税額及び地方消費税額（以下併せて消費税等額という。）の全部又は一部の支払を受けているときは、売主は、当該売買代金及びこれに対する消費税等額にその支払を受けた日から完済までの日までこれに対する年</w:t>
      </w:r>
      <w:r>
        <w:rPr>
          <w:rFonts w:hint="default" w:ascii="ＭＳ 明朝" w:hAnsi="ＭＳ 明朝"/>
          <w:sz w:val="16"/>
        </w:rPr>
        <w:t>3.0</w:t>
      </w:r>
      <w:r>
        <w:rPr>
          <w:rFonts w:hint="default" w:ascii="ＭＳ 明朝" w:hAnsi="ＭＳ 明朝"/>
          <w:sz w:val="16"/>
        </w:rPr>
        <w:t>％の割合（年</w:t>
      </w:r>
      <w:r>
        <w:rPr>
          <w:rFonts w:hint="default" w:ascii="ＭＳ 明朝" w:hAnsi="ＭＳ 明朝"/>
          <w:sz w:val="16"/>
        </w:rPr>
        <w:t>365</w:t>
      </w:r>
      <w:r>
        <w:rPr>
          <w:rFonts w:hint="default" w:ascii="ＭＳ 明朝" w:hAnsi="ＭＳ 明朝"/>
          <w:sz w:val="16"/>
        </w:rPr>
        <w:t>日の日割計算）による損害金を加算した金額を直ちに現金で買主に返還します。</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10</w:t>
      </w:r>
      <w:r>
        <w:rPr>
          <w:rFonts w:hint="default" w:ascii="ＭＳ 明朝" w:hAnsi="ＭＳ 明朝"/>
          <w:sz w:val="16"/>
        </w:rPr>
        <w:t>条　注文書発行後の課税法規の変更により公租公課が変更になったときは、その負担は買主が負います。</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11</w:t>
      </w:r>
      <w:r>
        <w:rPr>
          <w:rFonts w:hint="default" w:ascii="ＭＳ 明朝" w:hAnsi="ＭＳ 明朝"/>
          <w:sz w:val="16"/>
        </w:rPr>
        <w:t>条　売主は、この契約に基づく権利を買主の承諾を得ることなく第三者に譲渡することができません。</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12</w:t>
      </w:r>
      <w:r>
        <w:rPr>
          <w:rFonts w:hint="default" w:ascii="ＭＳ 明朝" w:hAnsi="ＭＳ 明朝"/>
          <w:sz w:val="16"/>
        </w:rPr>
        <w:t>条　天災地変、争議、暴動その他の不可抗力、又は買主、売主若しくは賃借人の責に帰さない事由によるこの契約の全部又は一部の履行不能若しくは履行遅滞について、各当事者は、その責に任じません。</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13</w:t>
      </w:r>
      <w:r>
        <w:rPr>
          <w:rFonts w:hint="default" w:ascii="ＭＳ 明朝" w:hAnsi="ＭＳ 明朝"/>
          <w:sz w:val="16"/>
        </w:rPr>
        <w:t>条　物件にソフトウェアが含まれている場合において、リース契約が期間満了、契約解除その他の事由により終了したときは、買主は、速やかにその旨を売主に通知するものとし、買主が賃借人から受領したリース契約終了通知書の写しを売主に提出します。</w:t>
      </w:r>
    </w:p>
    <w:p>
      <w:pPr>
        <w:pStyle w:val="0"/>
        <w:autoSpaceDE w:val="0"/>
        <w:autoSpaceDN w:val="0"/>
        <w:adjustRightInd w:val="0"/>
        <w:snapToGrid w:val="0"/>
        <w:ind w:left="358" w:hanging="358" w:hangingChars="224"/>
        <w:jc w:val="left"/>
        <w:rPr>
          <w:rFonts w:hint="default" w:ascii="ＭＳ 明朝" w:hAnsi="ＭＳ 明朝"/>
          <w:kern w:val="0"/>
          <w:sz w:val="16"/>
        </w:rPr>
      </w:pPr>
      <w:r>
        <w:rPr>
          <w:rFonts w:hint="default" w:ascii="ＭＳ 明朝" w:hAnsi="ＭＳ 明朝"/>
          <w:sz w:val="16"/>
        </w:rPr>
        <w:t>第</w:t>
      </w:r>
      <w:r>
        <w:rPr>
          <w:rFonts w:hint="default" w:ascii="ＭＳ 明朝" w:hAnsi="ＭＳ 明朝"/>
          <w:sz w:val="16"/>
        </w:rPr>
        <w:t>14</w:t>
      </w:r>
      <w:r>
        <w:rPr>
          <w:rFonts w:hint="default" w:ascii="ＭＳ 明朝" w:hAnsi="ＭＳ 明朝"/>
          <w:sz w:val="16"/>
        </w:rPr>
        <w:t>条</w:t>
      </w:r>
      <w:r>
        <w:rPr>
          <w:rFonts w:hint="eastAsia" w:ascii="ＭＳ 明朝" w:hAnsi="ＭＳ 明朝"/>
          <w:sz w:val="16"/>
        </w:rPr>
        <w:t>　</w:t>
      </w:r>
      <w:r>
        <w:rPr>
          <w:rFonts w:hint="eastAsia" w:ascii="ＭＳ 明朝" w:hAnsi="ＭＳ 明朝"/>
          <w:kern w:val="0"/>
          <w:sz w:val="16"/>
        </w:rPr>
        <w:t>売主は、買主の権利を侵害しない範囲で賃借人と保守サービス契約書及びソフト使用権許諾契約書を別途締結できます。</w:t>
      </w:r>
    </w:p>
    <w:p>
      <w:pPr>
        <w:pStyle w:val="0"/>
        <w:autoSpaceDE w:val="0"/>
        <w:autoSpaceDN w:val="0"/>
        <w:adjustRightInd w:val="0"/>
        <w:snapToGrid w:val="0"/>
        <w:ind w:left="358" w:hanging="358" w:hangingChars="224"/>
        <w:jc w:val="left"/>
        <w:rPr>
          <w:rFonts w:hint="default" w:ascii="ＭＳ 明朝" w:hAnsi="ＭＳ 明朝"/>
          <w:sz w:val="16"/>
        </w:rPr>
      </w:pPr>
      <w:r>
        <w:rPr>
          <w:rFonts w:hint="eastAsia" w:ascii="ＭＳ 明朝" w:hAnsi="ＭＳ 明朝"/>
          <w:sz w:val="16"/>
        </w:rPr>
        <w:t>第</w:t>
      </w:r>
      <w:r>
        <w:rPr>
          <w:rFonts w:hint="eastAsia" w:ascii="ＭＳ 明朝" w:hAnsi="ＭＳ 明朝"/>
          <w:sz w:val="16"/>
        </w:rPr>
        <w:t>15</w:t>
      </w:r>
      <w:r>
        <w:rPr>
          <w:rFonts w:hint="eastAsia" w:ascii="ＭＳ 明朝" w:hAnsi="ＭＳ 明朝"/>
          <w:sz w:val="16"/>
        </w:rPr>
        <w:t>条　売主及び買主は、この契約について反社会的勢力を排除すべく、次の各号のとおり合意します。</w:t>
      </w:r>
    </w:p>
    <w:p>
      <w:pPr>
        <w:pStyle w:val="0"/>
        <w:autoSpaceDE w:val="0"/>
        <w:autoSpaceDN w:val="0"/>
        <w:adjustRightInd w:val="0"/>
        <w:snapToGrid w:val="0"/>
        <w:ind w:left="938" w:leftChars="200" w:hanging="518" w:hangingChars="324"/>
        <w:jc w:val="left"/>
        <w:rPr>
          <w:rFonts w:hint="default" w:ascii="ＭＳ 明朝" w:hAnsi="ＭＳ 明朝"/>
          <w:sz w:val="16"/>
        </w:rPr>
      </w:pPr>
      <w:r>
        <w:rPr>
          <w:rFonts w:hint="eastAsia" w:ascii="ＭＳ 明朝" w:hAnsi="ＭＳ 明朝"/>
          <w:sz w:val="16"/>
        </w:rPr>
        <w:t>（１）自らが反社会的勢力（暴力団員による不当な行為の防止等に関する法律に定義する暴力団及びその関係団体等をいう。）でないこと、反社会的勢力でなかったこと、反社会的勢力を利用しないこと、反社会的勢力を名乗るなどして相手方の名誉・信用を毀損しもしくは業務の妨害を行い又は不当要求行為をなさないこと、自己の主要な出資者又は役職員が反社会的勢力の構成員でないことを表明し、保証します。</w:t>
      </w:r>
    </w:p>
    <w:p>
      <w:pPr>
        <w:pStyle w:val="0"/>
        <w:autoSpaceDE w:val="0"/>
        <w:autoSpaceDN w:val="0"/>
        <w:adjustRightInd w:val="0"/>
        <w:snapToGrid w:val="0"/>
        <w:ind w:left="938" w:leftChars="200" w:hanging="518" w:hangingChars="324"/>
        <w:jc w:val="left"/>
        <w:rPr>
          <w:rFonts w:hint="default" w:ascii="ＭＳ 明朝" w:hAnsi="ＭＳ 明朝"/>
          <w:sz w:val="16"/>
        </w:rPr>
      </w:pPr>
      <w:r>
        <w:rPr>
          <w:rFonts w:hint="eastAsia" w:ascii="ＭＳ 明朝" w:hAnsi="ＭＳ 明朝"/>
          <w:sz w:val="16"/>
        </w:rPr>
        <w:t>（２）売主及び買主は、相手方が第１号に違反したときは、この契約の全部又は一部を、相手方に対する通知、催告を要せずに解除することができます。</w:t>
      </w:r>
    </w:p>
    <w:p>
      <w:pPr>
        <w:pStyle w:val="0"/>
        <w:autoSpaceDE w:val="0"/>
        <w:autoSpaceDN w:val="0"/>
        <w:adjustRightInd w:val="0"/>
        <w:snapToGrid w:val="0"/>
        <w:ind w:left="938" w:leftChars="200" w:hanging="518" w:hangingChars="324"/>
        <w:jc w:val="left"/>
        <w:rPr>
          <w:rFonts w:hint="default" w:ascii="ＭＳ 明朝" w:hAnsi="ＭＳ 明朝"/>
          <w:sz w:val="16"/>
        </w:rPr>
      </w:pPr>
      <w:r>
        <w:rPr>
          <w:rFonts w:hint="eastAsia" w:ascii="ＭＳ 明朝" w:hAnsi="ＭＳ 明朝"/>
          <w:sz w:val="16"/>
        </w:rPr>
        <w:t>（３）売主及び買主は、相手方が第１号に違反したときは、この契約を解除するか否かにかかわらず、相手方に対して、自己に発生した損害の賠償を請求することができます。この場合において、当該当事者は、相手方に発生する損害を賠償する義務を負いません。</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16</w:t>
      </w:r>
      <w:r>
        <w:rPr>
          <w:rFonts w:hint="eastAsia" w:ascii="ＭＳ 明朝" w:hAnsi="ＭＳ 明朝"/>
          <w:sz w:val="16"/>
        </w:rPr>
        <w:t>条　この契約に関して疑義又は紛争が生じたときは、売主及び買主は、協議のうえ、円満に解決します。協議が調わないときは、売主及び買主は、東京地方裁判所又は東京簡易裁判所を第一審の専属的合意管轄裁判所とすることに合意します。</w:t>
      </w:r>
    </w:p>
    <w:p>
      <w:pPr>
        <w:pStyle w:val="0"/>
        <w:snapToGrid w:val="0"/>
        <w:ind w:left="358" w:hanging="358" w:hangingChars="224"/>
        <w:rPr>
          <w:rFonts w:hint="default" w:ascii="ＭＳ 明朝" w:hAnsi="ＭＳ 明朝"/>
          <w:sz w:val="16"/>
        </w:rPr>
      </w:pPr>
      <w:r>
        <w:rPr>
          <w:rFonts w:hint="eastAsia" w:ascii="ＭＳ 明朝" w:hAnsi="ＭＳ 明朝"/>
          <w:sz w:val="16"/>
        </w:rPr>
        <w:t>第</w:t>
      </w:r>
      <w:r>
        <w:rPr>
          <w:rFonts w:hint="default" w:ascii="ＭＳ 明朝" w:hAnsi="ＭＳ 明朝"/>
          <w:sz w:val="16"/>
        </w:rPr>
        <w:t>17</w:t>
      </w:r>
      <w:r>
        <w:rPr>
          <w:rFonts w:hint="eastAsia" w:ascii="ＭＳ 明朝" w:hAnsi="ＭＳ 明朝"/>
          <w:sz w:val="16"/>
        </w:rPr>
        <w:t>条　特約条項欄に特約条件を定めたときは、その条項は、この契約と一体となり、これを補完し又は優先適用されるものであることを、売主及び買主は、異議なく承認します。</w:t>
      </w:r>
    </w:p>
    <w:p>
      <w:pPr>
        <w:pStyle w:val="28"/>
        <w:rPr>
          <w:rFonts w:hint="default"/>
          <w:sz w:val="18"/>
        </w:rPr>
      </w:pPr>
      <w:r>
        <w:rPr>
          <w:rFonts w:hint="eastAsia"/>
          <w:sz w:val="16"/>
        </w:rPr>
        <w:t>（以下余白）</w:t>
      </w:r>
    </w:p>
    <w:sectPr>
      <w:type w:val="continuous"/>
      <w:pgSz w:w="11906" w:h="16838"/>
      <w:pgMar w:top="567" w:right="1134" w:bottom="567" w:left="1134" w:header="851" w:footer="992" w:gutter="0"/>
      <w:cols w:space="720"/>
      <w:textDirection w:val="lrTb"/>
      <w:docGrid w:type="lines" w:linePitch="360" w:charSpace="-367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MS-Mincho">
    <w:panose1 w:val="00000000000000000000"/>
    <w:charset w:val="80"/>
    <w:family w:val="auto"/>
    <w:notTrueType/>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5"/>
      <w:jc w:val="right"/>
      <w:rPr>
        <w:rFonts w:hint="default" w:ascii="ＭＳ 明朝" w:hAnsi="ＭＳ 明朝"/>
        <w:color w:val="808080"/>
        <w:sz w:val="16"/>
      </w:rPr>
    </w:pPr>
    <w:r>
      <w:rPr>
        <w:rFonts w:hint="default" w:ascii="ＭＳ 明朝" w:hAnsi="ＭＳ 明朝"/>
        <w:color w:val="808080"/>
        <w:sz w:val="16"/>
      </w:rPr>
      <w:t>Ver.20260304</w:t>
    </w: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cumentProtection w:edit="forms" w:enforcement="1" w:cryptProviderType="rsaAES" w:cryptAlgorithmClass="hash" w:cryptAlgorithmType="typeAny" w:cryptAlgorithmSid="14" w:cryptSpinCount="100000" w:hash="7iWwmrmFjY5+aaRBEeyiZFqLA8QCagPJl14RZeqBpoqseNnErd1r3Lc7xkJ/egNRW8ttSRljYIu0d/hgWpzBKA==" w:salt="Muwrdm9a8lZmUvesb+Hxuw=="/>
  <w:defaultTabStop w:val="840"/>
  <w:drawingGridHorizontalSpacing w:val="64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Arial" w:hAnsi="Arial" w:eastAsia="ＭＳ ゴシック"/>
      <w:sz w:val="18"/>
    </w:rPr>
  </w:style>
  <w:style w:type="character" w:styleId="16" w:customStyle="1">
    <w:name w:val="吹き出し (文字)"/>
    <w:next w:val="16"/>
    <w:link w:val="15"/>
    <w:uiPriority w:val="0"/>
    <w:rPr>
      <w:rFonts w:ascii="Arial" w:hAnsi="Arial" w:eastAsia="ＭＳ ゴシック"/>
      <w:sz w:val="18"/>
    </w:rPr>
  </w:style>
  <w:style w:type="paragraph" w:styleId="17">
    <w:name w:val="Body Text Indent"/>
    <w:basedOn w:val="0"/>
    <w:next w:val="17"/>
    <w:link w:val="18"/>
    <w:uiPriority w:val="0"/>
    <w:pPr>
      <w:ind w:firstLine="210" w:firstLineChars="100"/>
    </w:pPr>
  </w:style>
  <w:style w:type="character" w:styleId="18" w:customStyle="1">
    <w:name w:val="本文インデント (文字)"/>
    <w:next w:val="18"/>
    <w:link w:val="17"/>
    <w:uiPriority w:val="0"/>
    <w:rPr>
      <w:rFonts w:ascii="Century" w:hAnsi="Century" w:eastAsia="ＭＳ 明朝"/>
    </w:rPr>
  </w:style>
  <w:style w:type="paragraph" w:styleId="19">
    <w:name w:val="Body Text Indent 2"/>
    <w:basedOn w:val="0"/>
    <w:next w:val="19"/>
    <w:link w:val="20"/>
    <w:uiPriority w:val="0"/>
    <w:pPr>
      <w:ind w:left="2850" w:leftChars="257" w:hanging="2310" w:hangingChars="1100"/>
    </w:pPr>
  </w:style>
  <w:style w:type="character" w:styleId="20" w:customStyle="1">
    <w:name w:val="本文インデント 2 (文字)"/>
    <w:next w:val="20"/>
    <w:link w:val="19"/>
    <w:uiPriority w:val="0"/>
    <w:rPr>
      <w:rFonts w:ascii="Century" w:hAnsi="Century" w:eastAsia="ＭＳ 明朝"/>
    </w:rPr>
  </w:style>
  <w:style w:type="paragraph" w:styleId="21">
    <w:name w:val="Body Text Indent 3"/>
    <w:basedOn w:val="0"/>
    <w:next w:val="21"/>
    <w:link w:val="22"/>
    <w:uiPriority w:val="0"/>
    <w:pPr>
      <w:ind w:left="178" w:leftChars="85" w:firstLine="210" w:firstLineChars="100"/>
    </w:pPr>
  </w:style>
  <w:style w:type="character" w:styleId="22" w:customStyle="1">
    <w:name w:val="本文インデント 3 (文字)"/>
    <w:next w:val="22"/>
    <w:link w:val="21"/>
    <w:uiPriority w:val="0"/>
    <w:rPr>
      <w:rFonts w:ascii="Century" w:hAnsi="Century" w:eastAsia="ＭＳ 明朝"/>
    </w:rPr>
  </w:style>
  <w:style w:type="paragraph" w:styleId="23">
    <w:name w:val="header"/>
    <w:basedOn w:val="0"/>
    <w:next w:val="23"/>
    <w:link w:val="24"/>
    <w:uiPriority w:val="0"/>
    <w:pPr>
      <w:tabs>
        <w:tab w:val="center" w:leader="none" w:pos="4252"/>
        <w:tab w:val="right" w:leader="none" w:pos="8504"/>
      </w:tabs>
      <w:snapToGrid w:val="0"/>
    </w:pPr>
  </w:style>
  <w:style w:type="character" w:styleId="24" w:customStyle="1">
    <w:name w:val="ヘッダー (文字)"/>
    <w:basedOn w:val="10"/>
    <w:next w:val="24"/>
    <w:link w:val="23"/>
    <w:uiPriority w:val="0"/>
  </w:style>
  <w:style w:type="paragraph" w:styleId="25">
    <w:name w:val="footer"/>
    <w:basedOn w:val="0"/>
    <w:next w:val="25"/>
    <w:link w:val="26"/>
    <w:uiPriority w:val="0"/>
    <w:pPr>
      <w:tabs>
        <w:tab w:val="center" w:leader="none" w:pos="4252"/>
        <w:tab w:val="right" w:leader="none" w:pos="8504"/>
      </w:tabs>
      <w:snapToGrid w:val="0"/>
    </w:pPr>
  </w:style>
  <w:style w:type="character" w:styleId="26" w:customStyle="1">
    <w:name w:val="フッター (文字)"/>
    <w:basedOn w:val="10"/>
    <w:next w:val="26"/>
    <w:link w:val="25"/>
    <w:uiPriority w:val="0"/>
  </w:style>
  <w:style w:type="paragraph" w:styleId="27">
    <w:name w:val="List Paragraph"/>
    <w:basedOn w:val="0"/>
    <w:next w:val="27"/>
    <w:link w:val="0"/>
    <w:uiPriority w:val="0"/>
    <w:qFormat/>
    <w:pPr>
      <w:ind w:left="840" w:leftChars="400"/>
    </w:pPr>
  </w:style>
  <w:style w:type="paragraph" w:styleId="28">
    <w:name w:val="Closing"/>
    <w:basedOn w:val="0"/>
    <w:next w:val="28"/>
    <w:link w:val="29"/>
    <w:uiPriority w:val="0"/>
    <w:pPr>
      <w:jc w:val="right"/>
    </w:pPr>
    <w:rPr>
      <w:rFonts w:ascii="ＭＳ 明朝" w:hAnsi="ＭＳ 明朝"/>
      <w:sz w:val="19"/>
    </w:rPr>
  </w:style>
  <w:style w:type="character" w:styleId="29" w:customStyle="1">
    <w:name w:val="結語 (文字)"/>
    <w:next w:val="29"/>
    <w:link w:val="28"/>
    <w:uiPriority w:val="0"/>
    <w:rPr>
      <w:rFonts w:ascii="ＭＳ 明朝" w:hAnsi="ＭＳ 明朝"/>
      <w:kern w:val="2"/>
      <w:sz w:val="19"/>
    </w:rPr>
  </w:style>
  <w:style w:type="character" w:styleId="30">
    <w:name w:val="footnote reference"/>
    <w:basedOn w:val="10"/>
    <w:next w:val="30"/>
    <w:link w:val="0"/>
    <w:uiPriority w:val="0"/>
    <w:semiHidden/>
    <w:rPr>
      <w:vertAlign w:val="superscript"/>
    </w:rPr>
  </w:style>
  <w:style w:type="character" w:styleId="31">
    <w:name w:val="endnote reference"/>
    <w:basedOn w:val="10"/>
    <w:next w:val="31"/>
    <w:link w:val="0"/>
    <w:uiPriority w:val="0"/>
    <w:semiHidden/>
    <w:rPr>
      <w:vertAlign w:val="superscript"/>
    </w:rPr>
  </w:style>
  <w:style w:type="table" w:styleId="32">
    <w:name w:val="Table Grid"/>
    <w:basedOn w:val="11"/>
    <w:next w:val="32"/>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4</Pages>
  <Words>22</Words>
  <Characters>5961</Characters>
  <Application>JUST Note</Application>
  <Lines>272</Lines>
  <Paragraphs>119</Paragraphs>
  <CharactersWithSpaces>6358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User</cp:lastModifiedBy>
  <dcterms:modified xsi:type="dcterms:W3CDTF">2026-04-24T07:40:12Z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0x010100EDD0ECE172EDB142B5548E7F6B1A64E700A835684894D5B04BB35F23BE100EB05D</vt:lpwstr>
  </property>
  <property fmtid="{D5CDD505-2E9C-101B-9397-08002B2CF9AE}" pid="3" name="MediaServiceImageTags">
    <vt:lpwstr/>
  </property>
  <property fmtid="{D5CDD505-2E9C-101B-9397-08002B2CF9AE}" pid="4" name="Order">
    <vt:r8>491800</vt:r8>
  </property>
  <property fmtid="{D5CDD505-2E9C-101B-9397-08002B2CF9AE}" pid="5" name="_dlc_DocIdItemGuid">
    <vt:lpwstr>5d200afe-7da5-485e-9946-8ad55b938cbf</vt:lpwstr>
  </property>
</Properties>
</file>