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1"/>
        <w:adjustRightInd w:val="1"/>
        <w:spacing w:line="300" w:lineRule="exact"/>
        <w:jc w:val="center"/>
        <w:rPr>
          <w:rFonts w:hint="default"/>
          <w:color w:val="000000" w:themeColor="text1"/>
        </w:rPr>
      </w:pPr>
      <w:r>
        <w:rPr>
          <w:rFonts w:hint="eastAsia"/>
          <w:color w:val="000000" w:themeColor="text1"/>
        </w:rPr>
        <w:t>焼却灰及びばいじん運搬業務仕様書</w:t>
      </w:r>
    </w:p>
    <w:p>
      <w:pPr>
        <w:pStyle w:val="0"/>
        <w:wordWrap w:val="1"/>
        <w:adjustRightInd w:val="1"/>
        <w:spacing w:line="300" w:lineRule="exact"/>
        <w:rPr>
          <w:rFonts w:hint="default"/>
          <w:color w:val="000000" w:themeColor="text1"/>
        </w:rPr>
      </w:pPr>
    </w:p>
    <w:p>
      <w:pPr>
        <w:pStyle w:val="0"/>
        <w:wordWrap w:val="1"/>
        <w:adjustRightInd w:val="1"/>
        <w:spacing w:line="300" w:lineRule="exact"/>
        <w:rPr>
          <w:rFonts w:hint="default"/>
          <w:color w:val="000000" w:themeColor="text1"/>
        </w:rPr>
      </w:pPr>
      <w:r>
        <w:rPr>
          <w:rFonts w:hint="eastAsia"/>
          <w:color w:val="000000" w:themeColor="text1"/>
        </w:rPr>
        <w:t>第１章　総　則</w:t>
      </w:r>
    </w:p>
    <w:p>
      <w:pPr>
        <w:pStyle w:val="0"/>
        <w:wordWrap w:val="1"/>
        <w:adjustRightInd w:val="1"/>
        <w:spacing w:line="300" w:lineRule="exact"/>
        <w:rPr>
          <w:rFonts w:hint="default"/>
          <w:color w:val="000000" w:themeColor="text1"/>
        </w:rPr>
      </w:pPr>
      <w:r>
        <w:rPr>
          <w:rFonts w:hint="eastAsia"/>
          <w:color w:val="000000" w:themeColor="text1"/>
        </w:rPr>
        <w:t>　本仕様書は、焼却灰及びばいじんの運搬を行う業務の円滑な履行を図るため、必要な一般事項について定めるものである。</w:t>
      </w:r>
    </w:p>
    <w:p>
      <w:pPr>
        <w:pStyle w:val="0"/>
        <w:wordWrap w:val="1"/>
        <w:adjustRightInd w:val="1"/>
        <w:spacing w:line="300" w:lineRule="exact"/>
        <w:rPr>
          <w:rFonts w:hint="default"/>
          <w:color w:val="000000" w:themeColor="text1"/>
        </w:rPr>
      </w:pPr>
      <w:r>
        <w:rPr>
          <w:rFonts w:hint="eastAsia"/>
          <w:color w:val="000000" w:themeColor="text1"/>
        </w:rPr>
        <w:t>第１節</w:t>
      </w:r>
    </w:p>
    <w:p>
      <w:pPr>
        <w:pStyle w:val="0"/>
        <w:wordWrap w:val="1"/>
        <w:adjustRightInd w:val="1"/>
        <w:spacing w:line="300" w:lineRule="exact"/>
        <w:rPr>
          <w:rFonts w:hint="default"/>
          <w:color w:val="000000" w:themeColor="text1"/>
        </w:rPr>
      </w:pPr>
      <w:r>
        <w:rPr>
          <w:rFonts w:hint="default"/>
          <w:color w:val="000000" w:themeColor="text1"/>
        </w:rPr>
        <w:t xml:space="preserve">  </w:t>
      </w:r>
      <w:r>
        <w:rPr>
          <w:rFonts w:hint="eastAsia"/>
          <w:color w:val="000000" w:themeColor="text1"/>
        </w:rPr>
        <w:t>１　業務名</w:t>
      </w:r>
      <w:r>
        <w:rPr>
          <w:rFonts w:hint="default"/>
          <w:color w:val="000000" w:themeColor="text1"/>
        </w:rPr>
        <w:t xml:space="preserve">  </w:t>
      </w:r>
      <w:r>
        <w:rPr>
          <w:rFonts w:hint="eastAsia"/>
          <w:color w:val="000000" w:themeColor="text1"/>
        </w:rPr>
        <w:t>焼却灰及びばいじん運搬業務</w:t>
      </w:r>
    </w:p>
    <w:p>
      <w:pPr>
        <w:pStyle w:val="0"/>
        <w:wordWrap w:val="1"/>
        <w:adjustRightInd w:val="1"/>
        <w:spacing w:line="300" w:lineRule="exact"/>
        <w:rPr>
          <w:rFonts w:hint="default"/>
          <w:color w:val="000000" w:themeColor="text1"/>
        </w:rPr>
      </w:pPr>
      <w:r>
        <w:rPr>
          <w:rFonts w:hint="default"/>
          <w:color w:val="000000" w:themeColor="text1"/>
        </w:rPr>
        <w:t xml:space="preserve">  </w:t>
      </w:r>
      <w:r>
        <w:rPr>
          <w:rFonts w:hint="eastAsia"/>
          <w:color w:val="000000" w:themeColor="text1"/>
        </w:rPr>
        <w:t>２　業務の内容</w:t>
      </w:r>
    </w:p>
    <w:p>
      <w:pPr>
        <w:pStyle w:val="0"/>
        <w:wordWrap w:val="1"/>
        <w:adjustRightInd w:val="1"/>
        <w:spacing w:line="300" w:lineRule="exact"/>
        <w:ind w:left="720" w:hanging="720" w:hangingChars="300"/>
        <w:rPr>
          <w:rFonts w:hint="default"/>
          <w:color w:val="000000" w:themeColor="text1"/>
        </w:rPr>
      </w:pPr>
      <w:r>
        <w:rPr>
          <w:rFonts w:hint="default"/>
          <w:color w:val="000000" w:themeColor="text1"/>
        </w:rPr>
        <w:t xml:space="preserve">  </w:t>
      </w:r>
      <w:r>
        <w:rPr>
          <w:rFonts w:hint="eastAsia"/>
          <w:color w:val="000000" w:themeColor="text1"/>
        </w:rPr>
        <w:t>（１）西部クリーンセンター（以下「センター」という。）から排出される焼却灰及びばいじんの運搬業務。</w:t>
      </w:r>
    </w:p>
    <w:p>
      <w:pPr>
        <w:pStyle w:val="0"/>
        <w:wordWrap w:val="1"/>
        <w:adjustRightInd w:val="1"/>
        <w:spacing w:line="300" w:lineRule="exact"/>
        <w:ind w:left="720" w:hanging="720" w:hangingChars="300"/>
        <w:rPr>
          <w:rFonts w:hint="default"/>
          <w:color w:val="000000" w:themeColor="text1"/>
        </w:rPr>
      </w:pPr>
      <w:r>
        <w:rPr>
          <w:rFonts w:hint="default"/>
          <w:color w:val="000000" w:themeColor="text1"/>
        </w:rPr>
        <w:t xml:space="preserve">  </w:t>
      </w:r>
      <w:r>
        <w:rPr>
          <w:rFonts w:hint="eastAsia"/>
          <w:color w:val="000000" w:themeColor="text1"/>
        </w:rPr>
        <w:t>（２）運搬場所は、センターから各</w:t>
      </w:r>
      <w:bookmarkStart w:id="0" w:name="_GoBack"/>
      <w:bookmarkEnd w:id="0"/>
      <w:r>
        <w:rPr>
          <w:rFonts w:hint="eastAsia"/>
          <w:color w:val="000000" w:themeColor="text1"/>
        </w:rPr>
        <w:t>最終処分場までとし、順路及び搬出実施日については発注者が指示する。</w:t>
      </w:r>
      <w:r>
        <w:rPr>
          <w:rFonts w:hint="eastAsia"/>
          <w:color w:val="000000" w:themeColor="text1"/>
          <w:highlight w:val="none"/>
        </w:rPr>
        <w:t>（別紙参照：令和８年度焼却灰及びばいじん排出予定表）</w:t>
      </w:r>
    </w:p>
    <w:tbl>
      <w:tblPr>
        <w:tblStyle w:val="11"/>
        <w:tblW w:w="0" w:type="auto"/>
        <w:tblInd w:w="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092"/>
        <w:gridCol w:w="2655"/>
        <w:gridCol w:w="4455"/>
      </w:tblGrid>
      <w:tr>
        <w:trPr/>
        <w:tc>
          <w:tcPr>
            <w:tcW w:w="2092"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搬出先</w:t>
            </w:r>
          </w:p>
        </w:tc>
        <w:tc>
          <w:tcPr>
            <w:tcW w:w="265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wordWrap w:val="1"/>
              <w:overflowPunct w:val="0"/>
              <w:autoSpaceDE w:val="0"/>
              <w:autoSpaceDN w:val="0"/>
              <w:spacing w:line="300" w:lineRule="exact"/>
              <w:jc w:val="both"/>
              <w:rPr>
                <w:rFonts w:hint="default"/>
                <w:color w:val="000000" w:themeColor="text1"/>
              </w:rPr>
            </w:pPr>
            <w:r>
              <w:rPr>
                <w:rFonts w:hint="eastAsia"/>
                <w:color w:val="000000" w:themeColor="text1"/>
              </w:rPr>
              <w:t>青森県三戸郡三戸町大字斗内字立花</w:t>
            </w:r>
            <w:r>
              <w:rPr>
                <w:rFonts w:hint="eastAsia"/>
                <w:color w:val="000000" w:themeColor="text1"/>
              </w:rPr>
              <w:t>49-1</w:t>
            </w:r>
            <w:r>
              <w:rPr>
                <w:rFonts w:hint="eastAsia"/>
                <w:color w:val="000000" w:themeColor="text1"/>
              </w:rPr>
              <w:t>外</w:t>
            </w:r>
          </w:p>
        </w:tc>
        <w:tc>
          <w:tcPr>
            <w:tcW w:w="4455" w:type="dxa"/>
            <w:tcBorders>
              <w:top w:val="single" w:color="000000" w:sz="4" w:space="0"/>
              <w:left w:val="single" w:color="000000" w:sz="4" w:space="0"/>
              <w:bottom w:val="single" w:color="000000" w:sz="4" w:space="0"/>
              <w:right w:val="single" w:color="000000" w:sz="4" w:space="0"/>
              <w:tl2br w:val="nil"/>
              <w:tr2bl w:val="nil"/>
            </w:tcBorders>
            <w:vAlign w:val="top"/>
          </w:tcPr>
          <w:p>
            <w:pPr>
              <w:pStyle w:val="0"/>
              <w:kinsoku w:val="0"/>
              <w:wordWrap w:val="1"/>
              <w:overflowPunct w:val="0"/>
              <w:autoSpaceDE w:val="0"/>
              <w:autoSpaceDN w:val="0"/>
              <w:spacing w:line="300" w:lineRule="exact"/>
              <w:jc w:val="both"/>
              <w:rPr>
                <w:rFonts w:hint="default"/>
                <w:color w:val="000000" w:themeColor="text1"/>
              </w:rPr>
            </w:pPr>
            <w:r>
              <w:rPr>
                <w:rFonts w:hint="eastAsia"/>
                <w:color w:val="000000" w:themeColor="text1"/>
              </w:rPr>
              <w:t>青森県五所川原市相内岩井</w:t>
            </w:r>
            <w:r>
              <w:rPr>
                <w:rFonts w:hint="eastAsia"/>
                <w:color w:val="000000" w:themeColor="text1"/>
              </w:rPr>
              <w:t>81-401</w:t>
            </w:r>
          </w:p>
          <w:p>
            <w:pPr>
              <w:pStyle w:val="0"/>
              <w:kinsoku w:val="0"/>
              <w:wordWrap w:val="1"/>
              <w:overflowPunct w:val="0"/>
              <w:autoSpaceDE w:val="0"/>
              <w:autoSpaceDN w:val="0"/>
              <w:spacing w:line="300" w:lineRule="exact"/>
              <w:jc w:val="both"/>
              <w:rPr>
                <w:rFonts w:hint="default"/>
                <w:color w:val="000000" w:themeColor="text1"/>
              </w:rPr>
            </w:pPr>
            <w:r>
              <w:rPr>
                <w:rFonts w:hint="eastAsia"/>
                <w:color w:val="000000" w:themeColor="text1"/>
              </w:rPr>
              <w:t>青森県五所川原市金木町喜良市小田川山</w:t>
            </w:r>
            <w:r>
              <w:rPr>
                <w:rFonts w:hint="eastAsia"/>
                <w:color w:val="000000" w:themeColor="text1"/>
              </w:rPr>
              <w:t>1-3</w:t>
            </w:r>
          </w:p>
        </w:tc>
      </w:tr>
      <w:tr>
        <w:trPr/>
        <w:tc>
          <w:tcPr>
            <w:tcW w:w="2092" w:type="dxa"/>
            <w:vMerge w:val="continue"/>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0"/>
              <w:suppressAutoHyphens w:val="0"/>
              <w:wordWrap w:val="1"/>
              <w:autoSpaceDE w:val="0"/>
              <w:autoSpaceDN w:val="0"/>
              <w:spacing w:line="300" w:lineRule="exact"/>
              <w:jc w:val="center"/>
              <w:textAlignment w:val="auto"/>
              <w:rPr>
                <w:rFonts w:hint="default"/>
                <w:color w:val="000000" w:themeColor="text1"/>
              </w:rPr>
            </w:pPr>
          </w:p>
        </w:tc>
        <w:tc>
          <w:tcPr>
            <w:tcW w:w="265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三戸ウェイストパーク</w:t>
            </w:r>
          </w:p>
        </w:tc>
        <w:tc>
          <w:tcPr>
            <w:tcW w:w="4455" w:type="dxa"/>
            <w:tcBorders>
              <w:top w:val="single" w:color="000000" w:sz="4" w:space="0"/>
              <w:left w:val="single" w:color="000000" w:sz="4" w:space="0"/>
              <w:bottom w:val="single" w:color="000000" w:sz="4" w:space="0"/>
              <w:right w:val="single" w:color="000000" w:sz="4" w:space="0"/>
              <w:tl2br w:val="nil"/>
              <w:tr2bl w:val="nil"/>
            </w:tcBorders>
            <w:vAlign w:val="top"/>
          </w:tcPr>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市浦一般廃棄物最終処分場</w:t>
            </w:r>
          </w:p>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金木第２一般廃棄物最終処分場</w:t>
            </w:r>
          </w:p>
        </w:tc>
      </w:tr>
      <w:tr>
        <w:trPr/>
        <w:tc>
          <w:tcPr>
            <w:tcW w:w="209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運搬量</w:t>
            </w:r>
            <w:r>
              <w:rPr>
                <w:rFonts w:hint="default"/>
                <w:color w:val="000000" w:themeColor="text1"/>
              </w:rPr>
              <w:t>(</w:t>
            </w:r>
            <w:r>
              <w:rPr>
                <w:rFonts w:hint="eastAsia"/>
                <w:color w:val="000000" w:themeColor="text1"/>
              </w:rPr>
              <w:t>予定</w:t>
            </w:r>
            <w:r>
              <w:rPr>
                <w:rFonts w:hint="default"/>
                <w:color w:val="000000" w:themeColor="text1"/>
              </w:rPr>
              <w:t>)</w:t>
            </w:r>
          </w:p>
        </w:tc>
        <w:tc>
          <w:tcPr>
            <w:tcW w:w="265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1,004</w:t>
            </w:r>
            <w:r>
              <w:rPr>
                <w:rFonts w:hint="eastAsia"/>
                <w:color w:val="000000" w:themeColor="text1"/>
              </w:rPr>
              <w:t>ｔ</w:t>
            </w:r>
          </w:p>
        </w:tc>
        <w:tc>
          <w:tcPr>
            <w:tcW w:w="4455" w:type="dxa"/>
            <w:tcBorders>
              <w:top w:val="single" w:color="000000" w:sz="4" w:space="0"/>
              <w:left w:val="single" w:color="000000" w:sz="4" w:space="0"/>
              <w:bottom w:val="single" w:color="000000" w:sz="4" w:space="0"/>
              <w:right w:val="single" w:color="000000" w:sz="4" w:space="0"/>
              <w:tl2br w:val="nil"/>
              <w:tr2bl w:val="nil"/>
            </w:tcBorders>
            <w:vAlign w:val="top"/>
          </w:tcPr>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380</w:t>
            </w:r>
            <w:r>
              <w:rPr>
                <w:rFonts w:hint="eastAsia"/>
                <w:color w:val="000000" w:themeColor="text1"/>
              </w:rPr>
              <w:t>ｔ</w:t>
            </w:r>
          </w:p>
        </w:tc>
      </w:tr>
      <w:tr>
        <w:trPr/>
        <w:tc>
          <w:tcPr>
            <w:tcW w:w="209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wordWrap w:val="1"/>
              <w:overflowPunct w:val="0"/>
              <w:autoSpaceDE w:val="0"/>
              <w:autoSpaceDN w:val="0"/>
              <w:spacing w:line="300" w:lineRule="exact"/>
              <w:jc w:val="center"/>
              <w:rPr>
                <w:rFonts w:hint="default"/>
                <w:color w:val="000000" w:themeColor="text1"/>
                <w:highlight w:val="none"/>
              </w:rPr>
            </w:pPr>
            <w:r>
              <w:rPr>
                <w:rFonts w:hint="eastAsia"/>
                <w:color w:val="000000" w:themeColor="text1"/>
                <w:highlight w:val="none"/>
              </w:rPr>
              <w:t>運搬日数（予定）</w:t>
            </w:r>
          </w:p>
        </w:tc>
        <w:tc>
          <w:tcPr>
            <w:tcW w:w="265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wordWrap w:val="1"/>
              <w:overflowPunct w:val="0"/>
              <w:autoSpaceDE w:val="0"/>
              <w:autoSpaceDN w:val="0"/>
              <w:spacing w:line="300" w:lineRule="exact"/>
              <w:jc w:val="center"/>
              <w:rPr>
                <w:rFonts w:hint="default"/>
                <w:color w:val="000000" w:themeColor="text1"/>
                <w:highlight w:val="none"/>
              </w:rPr>
            </w:pPr>
            <w:r>
              <w:rPr>
                <w:rFonts w:hint="eastAsia"/>
                <w:color w:val="000000" w:themeColor="text1"/>
                <w:highlight w:val="none"/>
              </w:rPr>
              <w:t>107</w:t>
            </w:r>
            <w:r>
              <w:rPr>
                <w:rFonts w:hint="eastAsia"/>
                <w:color w:val="000000" w:themeColor="text1"/>
                <w:highlight w:val="none"/>
              </w:rPr>
              <w:t>日</w:t>
            </w:r>
          </w:p>
        </w:tc>
        <w:tc>
          <w:tcPr>
            <w:tcW w:w="4455" w:type="dxa"/>
            <w:tcBorders>
              <w:top w:val="single" w:color="000000" w:sz="4" w:space="0"/>
              <w:left w:val="single" w:color="000000" w:sz="4" w:space="0"/>
              <w:bottom w:val="single" w:color="000000" w:sz="4" w:space="0"/>
              <w:right w:val="single" w:color="000000" w:sz="4" w:space="0"/>
              <w:tl2br w:val="nil"/>
              <w:tr2bl w:val="nil"/>
            </w:tcBorders>
            <w:vAlign w:val="top"/>
          </w:tcPr>
          <w:p>
            <w:pPr>
              <w:pStyle w:val="0"/>
              <w:kinsoku w:val="0"/>
              <w:wordWrap w:val="1"/>
              <w:overflowPunct w:val="0"/>
              <w:autoSpaceDE w:val="0"/>
              <w:autoSpaceDN w:val="0"/>
              <w:spacing w:line="300" w:lineRule="exact"/>
              <w:jc w:val="center"/>
              <w:rPr>
                <w:rFonts w:hint="default"/>
                <w:color w:val="000000" w:themeColor="text1"/>
                <w:highlight w:val="none"/>
              </w:rPr>
            </w:pPr>
            <w:r>
              <w:rPr>
                <w:rFonts w:hint="eastAsia"/>
                <w:color w:val="000000" w:themeColor="text1"/>
                <w:highlight w:val="none"/>
              </w:rPr>
              <w:t>73</w:t>
            </w:r>
            <w:r>
              <w:rPr>
                <w:rFonts w:hint="eastAsia"/>
                <w:color w:val="000000" w:themeColor="text1"/>
                <w:highlight w:val="none"/>
              </w:rPr>
              <w:t>日</w:t>
            </w:r>
          </w:p>
        </w:tc>
      </w:tr>
      <w:tr>
        <w:trPr/>
        <w:tc>
          <w:tcPr>
            <w:tcW w:w="209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wordWrap w:val="1"/>
              <w:overflowPunct w:val="0"/>
              <w:autoSpaceDE w:val="0"/>
              <w:autoSpaceDN w:val="0"/>
              <w:spacing w:line="300" w:lineRule="exact"/>
              <w:jc w:val="center"/>
              <w:rPr>
                <w:rFonts w:hint="default"/>
                <w:color w:val="000000" w:themeColor="text1"/>
                <w:highlight w:val="none"/>
              </w:rPr>
            </w:pPr>
            <w:r>
              <w:rPr>
                <w:rFonts w:hint="eastAsia"/>
                <w:color w:val="000000" w:themeColor="text1"/>
                <w:highlight w:val="none"/>
              </w:rPr>
              <w:t>運搬台数（予定）</w:t>
            </w:r>
          </w:p>
        </w:tc>
        <w:tc>
          <w:tcPr>
            <w:tcW w:w="265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kinsoku w:val="0"/>
              <w:wordWrap w:val="1"/>
              <w:overflowPunct w:val="0"/>
              <w:autoSpaceDE w:val="0"/>
              <w:autoSpaceDN w:val="0"/>
              <w:spacing w:line="300" w:lineRule="exact"/>
              <w:jc w:val="center"/>
              <w:rPr>
                <w:rFonts w:hint="default"/>
                <w:color w:val="000000" w:themeColor="text1"/>
                <w:highlight w:val="none"/>
              </w:rPr>
            </w:pPr>
            <w:r>
              <w:rPr>
                <w:rFonts w:hint="eastAsia"/>
                <w:color w:val="000000" w:themeColor="text1"/>
                <w:highlight w:val="none"/>
              </w:rPr>
              <w:t>8</w:t>
            </w:r>
            <w:r>
              <w:rPr>
                <w:rFonts w:hint="eastAsia"/>
                <w:color w:val="000000" w:themeColor="text1"/>
                <w:highlight w:val="none"/>
              </w:rPr>
              <w:t>台（</w:t>
            </w:r>
            <w:r>
              <w:rPr>
                <w:rFonts w:hint="eastAsia"/>
                <w:color w:val="000000" w:themeColor="text1"/>
                <w:highlight w:val="none"/>
              </w:rPr>
              <w:t>5.2t</w:t>
            </w:r>
            <w:r>
              <w:rPr>
                <w:rFonts w:hint="eastAsia"/>
                <w:color w:val="000000" w:themeColor="text1"/>
                <w:highlight w:val="none"/>
              </w:rPr>
              <w:t>積み）</w:t>
            </w:r>
          </w:p>
          <w:p>
            <w:pPr>
              <w:pStyle w:val="0"/>
              <w:kinsoku w:val="0"/>
              <w:wordWrap w:val="1"/>
              <w:overflowPunct w:val="0"/>
              <w:autoSpaceDE w:val="0"/>
              <w:autoSpaceDN w:val="0"/>
              <w:spacing w:line="300" w:lineRule="exact"/>
              <w:jc w:val="center"/>
              <w:rPr>
                <w:rFonts w:hint="default"/>
                <w:color w:val="000000" w:themeColor="text1"/>
                <w:highlight w:val="none"/>
              </w:rPr>
            </w:pPr>
            <w:r>
              <w:rPr>
                <w:rFonts w:hint="eastAsia"/>
                <w:color w:val="000000" w:themeColor="text1"/>
                <w:highlight w:val="none"/>
              </w:rPr>
              <w:t>107</w:t>
            </w:r>
            <w:r>
              <w:rPr>
                <w:rFonts w:hint="eastAsia"/>
                <w:color w:val="000000" w:themeColor="text1"/>
                <w:highlight w:val="none"/>
              </w:rPr>
              <w:t>台（</w:t>
            </w:r>
            <w:r>
              <w:rPr>
                <w:rFonts w:hint="eastAsia"/>
                <w:color w:val="000000" w:themeColor="text1"/>
                <w:highlight w:val="none"/>
              </w:rPr>
              <w:t>9t</w:t>
            </w:r>
            <w:r>
              <w:rPr>
                <w:rFonts w:hint="eastAsia"/>
                <w:color w:val="000000" w:themeColor="text1"/>
                <w:highlight w:val="none"/>
              </w:rPr>
              <w:t>積み）</w:t>
            </w:r>
          </w:p>
        </w:tc>
        <w:tc>
          <w:tcPr>
            <w:tcW w:w="4455" w:type="dxa"/>
            <w:tcBorders>
              <w:top w:val="single" w:color="000000" w:sz="4" w:space="0"/>
              <w:left w:val="single" w:color="000000" w:sz="4" w:space="0"/>
              <w:bottom w:val="single" w:color="000000" w:sz="4" w:space="0"/>
              <w:right w:val="single" w:color="000000" w:sz="4" w:space="0"/>
              <w:tl2br w:val="nil"/>
              <w:tr2bl w:val="nil"/>
            </w:tcBorders>
            <w:vAlign w:val="center"/>
          </w:tcPr>
          <w:p>
            <w:pPr>
              <w:pStyle w:val="0"/>
              <w:kinsoku w:val="0"/>
              <w:wordWrap w:val="1"/>
              <w:overflowPunct w:val="0"/>
              <w:autoSpaceDE w:val="0"/>
              <w:autoSpaceDN w:val="0"/>
              <w:spacing w:line="300" w:lineRule="exact"/>
              <w:jc w:val="center"/>
              <w:rPr>
                <w:rFonts w:hint="default"/>
                <w:color w:val="000000" w:themeColor="text1"/>
                <w:highlight w:val="none"/>
              </w:rPr>
            </w:pPr>
            <w:r>
              <w:rPr>
                <w:rFonts w:hint="eastAsia"/>
                <w:color w:val="000000" w:themeColor="text1"/>
                <w:highlight w:val="none"/>
              </w:rPr>
              <w:t>73</w:t>
            </w:r>
            <w:r>
              <w:rPr>
                <w:rFonts w:hint="eastAsia"/>
                <w:color w:val="000000" w:themeColor="text1"/>
                <w:highlight w:val="none"/>
              </w:rPr>
              <w:t>台（</w:t>
            </w:r>
            <w:r>
              <w:rPr>
                <w:rFonts w:hint="eastAsia"/>
                <w:color w:val="000000" w:themeColor="text1"/>
                <w:highlight w:val="none"/>
              </w:rPr>
              <w:t>5.2t</w:t>
            </w:r>
            <w:r>
              <w:rPr>
                <w:rFonts w:hint="eastAsia"/>
                <w:color w:val="000000" w:themeColor="text1"/>
                <w:highlight w:val="none"/>
              </w:rPr>
              <w:t>積み）</w:t>
            </w:r>
          </w:p>
        </w:tc>
      </w:tr>
      <w:tr>
        <w:trPr/>
        <w:tc>
          <w:tcPr>
            <w:tcW w:w="209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運搬距離（片道）</w:t>
            </w:r>
          </w:p>
        </w:tc>
        <w:tc>
          <w:tcPr>
            <w:tcW w:w="265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188</w:t>
            </w:r>
            <w:r>
              <w:rPr>
                <w:rFonts w:hint="default"/>
                <w:color w:val="000000" w:themeColor="text1"/>
              </w:rPr>
              <w:t>km</w:t>
            </w:r>
          </w:p>
        </w:tc>
        <w:tc>
          <w:tcPr>
            <w:tcW w:w="4455" w:type="dxa"/>
            <w:tcBorders>
              <w:top w:val="single" w:color="000000" w:sz="4" w:space="0"/>
              <w:left w:val="single" w:color="000000" w:sz="4" w:space="0"/>
              <w:bottom w:val="single" w:color="000000" w:sz="4" w:space="0"/>
              <w:right w:val="single" w:color="000000" w:sz="4" w:space="0"/>
              <w:tl2br w:val="nil"/>
              <w:tr2bl w:val="nil"/>
            </w:tcBorders>
            <w:vAlign w:val="top"/>
          </w:tcPr>
          <w:p>
            <w:pPr>
              <w:pStyle w:val="0"/>
              <w:kinsoku w:val="0"/>
              <w:wordWrap w:val="1"/>
              <w:overflowPunct w:val="0"/>
              <w:autoSpaceDE w:val="0"/>
              <w:autoSpaceDN w:val="0"/>
              <w:spacing w:line="300" w:lineRule="exact"/>
              <w:jc w:val="center"/>
              <w:rPr>
                <w:rFonts w:hint="default"/>
                <w:color w:val="000000" w:themeColor="text1"/>
              </w:rPr>
            </w:pPr>
            <w:r>
              <w:rPr>
                <w:rFonts w:hint="eastAsia"/>
                <w:color w:val="000000" w:themeColor="text1"/>
              </w:rPr>
              <w:t>13km</w:t>
            </w:r>
            <w:r>
              <w:rPr>
                <w:rFonts w:hint="eastAsia"/>
                <w:color w:val="000000" w:themeColor="text1"/>
              </w:rPr>
              <w:t>～</w:t>
            </w:r>
            <w:r>
              <w:rPr>
                <w:rFonts w:hint="eastAsia"/>
                <w:color w:val="000000" w:themeColor="text1"/>
              </w:rPr>
              <w:t>27</w:t>
            </w:r>
            <w:r>
              <w:rPr>
                <w:rFonts w:hint="default"/>
                <w:color w:val="000000" w:themeColor="text1"/>
              </w:rPr>
              <w:t>km</w:t>
            </w:r>
          </w:p>
        </w:tc>
      </w:tr>
    </w:tbl>
    <w:p>
      <w:pPr>
        <w:pStyle w:val="0"/>
        <w:wordWrap w:val="1"/>
        <w:adjustRightInd w:val="1"/>
        <w:spacing w:line="300" w:lineRule="exact"/>
        <w:ind w:firstLine="480" w:firstLineChars="200"/>
        <w:rPr>
          <w:rFonts w:hint="default"/>
          <w:color w:val="000000" w:themeColor="text1"/>
        </w:rPr>
      </w:pPr>
      <w:r>
        <w:rPr>
          <w:rFonts w:hint="eastAsia"/>
          <w:color w:val="000000" w:themeColor="text1"/>
        </w:rPr>
        <w:t>※運搬距離は西部クリーンセンターから各最終処分までの距離</w:t>
      </w:r>
    </w:p>
    <w:p>
      <w:pPr>
        <w:pStyle w:val="0"/>
        <w:wordWrap w:val="1"/>
        <w:adjustRightInd w:val="1"/>
        <w:spacing w:line="300" w:lineRule="exact"/>
        <w:ind w:firstLine="240" w:firstLineChars="100"/>
        <w:rPr>
          <w:rFonts w:hint="default"/>
          <w:color w:val="000000" w:themeColor="text1"/>
        </w:rPr>
      </w:pPr>
      <w:r>
        <w:rPr>
          <w:rFonts w:hint="eastAsia"/>
          <w:color w:val="000000" w:themeColor="text1"/>
        </w:rPr>
        <w:t>３　業務期間</w:t>
      </w:r>
      <w:r>
        <w:rPr>
          <w:rFonts w:hint="default"/>
          <w:color w:val="000000" w:themeColor="text1"/>
        </w:rPr>
        <w:t xml:space="preserve">      </w:t>
      </w:r>
      <w:r>
        <w:rPr>
          <w:rFonts w:hint="eastAsia"/>
          <w:color w:val="000000" w:themeColor="text1"/>
        </w:rPr>
        <w:t>令和８年６月１日から令和９年３月３１日まで</w:t>
      </w:r>
    </w:p>
    <w:p>
      <w:pPr>
        <w:pStyle w:val="0"/>
        <w:wordWrap w:val="1"/>
        <w:adjustRightInd w:val="1"/>
        <w:spacing w:line="300" w:lineRule="exact"/>
        <w:rPr>
          <w:rFonts w:hint="default"/>
          <w:color w:val="000000" w:themeColor="text1"/>
        </w:rPr>
      </w:pPr>
      <w:r>
        <w:rPr>
          <w:rFonts w:hint="default"/>
          <w:color w:val="000000" w:themeColor="text1"/>
        </w:rPr>
        <w:t xml:space="preserve">  </w:t>
      </w:r>
      <w:r>
        <w:rPr>
          <w:rFonts w:hint="eastAsia"/>
          <w:color w:val="000000" w:themeColor="text1"/>
        </w:rPr>
        <w:t>４　法令等の厳守</w:t>
      </w:r>
    </w:p>
    <w:p>
      <w:pPr>
        <w:pStyle w:val="0"/>
        <w:wordWrap w:val="1"/>
        <w:adjustRightInd w:val="1"/>
        <w:spacing w:line="300" w:lineRule="exact"/>
        <w:ind w:left="720" w:hanging="720" w:hangingChars="300"/>
        <w:rPr>
          <w:rFonts w:hint="default"/>
          <w:color w:val="000000" w:themeColor="text1"/>
        </w:rPr>
      </w:pPr>
      <w:r>
        <w:rPr>
          <w:rFonts w:hint="default"/>
          <w:color w:val="000000" w:themeColor="text1"/>
        </w:rPr>
        <w:t xml:space="preserve">        </w:t>
      </w:r>
      <w:r>
        <w:rPr>
          <w:rFonts w:hint="eastAsia"/>
          <w:color w:val="000000" w:themeColor="text1"/>
        </w:rPr>
        <w:t>業務を行うに当たり、生活環境の保全及び公衆衛生の向上に支障をきたさないように関係する法令、規則、規定を厳守すること。</w:t>
      </w:r>
    </w:p>
    <w:p>
      <w:pPr>
        <w:pStyle w:val="0"/>
        <w:wordWrap w:val="1"/>
        <w:adjustRightInd w:val="1"/>
        <w:spacing w:line="300" w:lineRule="exact"/>
        <w:rPr>
          <w:rFonts w:hint="default"/>
          <w:color w:val="000000" w:themeColor="text1"/>
        </w:rPr>
      </w:pPr>
      <w:r>
        <w:rPr>
          <w:rFonts w:hint="eastAsia"/>
          <w:color w:val="000000" w:themeColor="text1"/>
        </w:rPr>
        <w:t>　５　損害賠償責任等</w:t>
      </w:r>
    </w:p>
    <w:p>
      <w:pPr>
        <w:pStyle w:val="0"/>
        <w:wordWrap w:val="1"/>
        <w:adjustRightInd w:val="1"/>
        <w:spacing w:line="300" w:lineRule="exact"/>
        <w:rPr>
          <w:rFonts w:hint="default"/>
          <w:color w:val="000000" w:themeColor="text1"/>
        </w:rPr>
      </w:pPr>
      <w:r>
        <w:rPr>
          <w:rFonts w:hint="default"/>
          <w:color w:val="000000" w:themeColor="text1"/>
        </w:rPr>
        <w:t xml:space="preserve">        </w:t>
      </w:r>
      <w:r>
        <w:rPr>
          <w:rFonts w:hint="eastAsia"/>
          <w:color w:val="000000" w:themeColor="text1"/>
        </w:rPr>
        <w:t>業務の実施に関し、第三者に損害を与えたとき、又はこの契約が解除された後に</w:t>
      </w:r>
    </w:p>
    <w:p>
      <w:pPr>
        <w:pStyle w:val="0"/>
        <w:wordWrap w:val="1"/>
        <w:adjustRightInd w:val="1"/>
        <w:spacing w:line="300" w:lineRule="exact"/>
        <w:ind w:left="720" w:hanging="720" w:hangingChars="300"/>
        <w:rPr>
          <w:rFonts w:hint="default"/>
          <w:color w:val="000000" w:themeColor="text1"/>
        </w:rPr>
      </w:pPr>
      <w:r>
        <w:rPr>
          <w:rFonts w:hint="eastAsia"/>
          <w:color w:val="000000" w:themeColor="text1"/>
        </w:rPr>
        <w:t>　　　おいても損害を与えたときは、直ちにその損害を被害者に賠償しなければならない。</w:t>
      </w:r>
    </w:p>
    <w:p>
      <w:pPr>
        <w:pStyle w:val="0"/>
        <w:wordWrap w:val="1"/>
        <w:adjustRightInd w:val="1"/>
        <w:spacing w:line="300" w:lineRule="exact"/>
        <w:rPr>
          <w:rFonts w:hint="default"/>
          <w:color w:val="000000" w:themeColor="text1"/>
        </w:rPr>
      </w:pPr>
      <w:r>
        <w:rPr>
          <w:rFonts w:hint="eastAsia"/>
          <w:color w:val="000000" w:themeColor="text1"/>
        </w:rPr>
        <w:t>　６　秘密の保持</w:t>
      </w:r>
    </w:p>
    <w:p>
      <w:pPr>
        <w:pStyle w:val="0"/>
        <w:wordWrap w:val="1"/>
        <w:adjustRightInd w:val="1"/>
        <w:spacing w:line="300" w:lineRule="exact"/>
        <w:rPr>
          <w:rFonts w:hint="default"/>
          <w:color w:val="000000" w:themeColor="text1"/>
        </w:rPr>
      </w:pPr>
      <w:r>
        <w:rPr>
          <w:rFonts w:hint="default"/>
          <w:color w:val="000000" w:themeColor="text1"/>
        </w:rPr>
        <w:t xml:space="preserve">        </w:t>
      </w:r>
      <w:r>
        <w:rPr>
          <w:rFonts w:hint="eastAsia"/>
          <w:color w:val="000000" w:themeColor="text1"/>
        </w:rPr>
        <w:t>委託業務の内容について知り得た秘密を第三者に漏らしてはならない。</w:t>
      </w:r>
    </w:p>
    <w:p>
      <w:pPr>
        <w:pStyle w:val="0"/>
        <w:wordWrap w:val="1"/>
        <w:adjustRightInd w:val="1"/>
        <w:spacing w:line="300" w:lineRule="exact"/>
        <w:rPr>
          <w:rFonts w:hint="default"/>
          <w:color w:val="000000" w:themeColor="text1"/>
        </w:rPr>
      </w:pPr>
      <w:r>
        <w:rPr>
          <w:rFonts w:hint="default"/>
          <w:color w:val="000000" w:themeColor="text1"/>
        </w:rPr>
        <w:t xml:space="preserve">  </w:t>
      </w:r>
      <w:r>
        <w:rPr>
          <w:rFonts w:hint="eastAsia"/>
          <w:color w:val="000000" w:themeColor="text1"/>
        </w:rPr>
        <w:t>７　仕様書の適用</w:t>
      </w:r>
    </w:p>
    <w:p>
      <w:pPr>
        <w:pStyle w:val="0"/>
        <w:wordWrap w:val="1"/>
        <w:adjustRightInd w:val="1"/>
        <w:spacing w:line="300" w:lineRule="exact"/>
        <w:rPr>
          <w:rFonts w:hint="default"/>
          <w:color w:val="000000" w:themeColor="text1"/>
        </w:rPr>
      </w:pPr>
      <w:r>
        <w:rPr>
          <w:rFonts w:hint="default"/>
          <w:color w:val="000000" w:themeColor="text1"/>
        </w:rPr>
        <w:t xml:space="preserve">        </w:t>
      </w:r>
      <w:r>
        <w:rPr>
          <w:rFonts w:hint="eastAsia"/>
          <w:color w:val="000000" w:themeColor="text1"/>
        </w:rPr>
        <w:t>本仕様書に明記なき事項については、協議の上決めるものとする。</w:t>
      </w:r>
    </w:p>
    <w:p>
      <w:pPr>
        <w:pStyle w:val="0"/>
        <w:wordWrap w:val="1"/>
        <w:adjustRightInd w:val="1"/>
        <w:spacing w:line="300" w:lineRule="exact"/>
        <w:rPr>
          <w:rFonts w:hint="default"/>
          <w:color w:val="000000" w:themeColor="text1"/>
        </w:rPr>
      </w:pPr>
    </w:p>
    <w:p>
      <w:pPr>
        <w:pStyle w:val="0"/>
        <w:wordWrap w:val="1"/>
        <w:adjustRightInd w:val="1"/>
        <w:spacing w:line="300" w:lineRule="exact"/>
        <w:rPr>
          <w:rFonts w:hint="default"/>
          <w:color w:val="000000" w:themeColor="text1"/>
        </w:rPr>
      </w:pPr>
      <w:r>
        <w:rPr>
          <w:rFonts w:hint="eastAsia"/>
          <w:color w:val="000000" w:themeColor="text1"/>
        </w:rPr>
        <w:t>第２章　条　件</w:t>
      </w:r>
    </w:p>
    <w:p>
      <w:pPr>
        <w:pStyle w:val="0"/>
        <w:wordWrap w:val="1"/>
        <w:adjustRightInd w:val="1"/>
        <w:spacing w:line="300" w:lineRule="exact"/>
        <w:rPr>
          <w:rFonts w:hint="default"/>
          <w:color w:val="000000" w:themeColor="text1"/>
        </w:rPr>
      </w:pPr>
      <w:r>
        <w:rPr>
          <w:rFonts w:hint="eastAsia"/>
          <w:color w:val="000000" w:themeColor="text1"/>
        </w:rPr>
        <w:t>第１節　　</w:t>
      </w:r>
    </w:p>
    <w:p>
      <w:pPr>
        <w:pStyle w:val="0"/>
        <w:wordWrap w:val="1"/>
        <w:adjustRightInd w:val="1"/>
        <w:spacing w:line="300" w:lineRule="exact"/>
        <w:rPr>
          <w:rFonts w:hint="default"/>
          <w:color w:val="000000" w:themeColor="text1"/>
        </w:rPr>
      </w:pPr>
      <w:r>
        <w:rPr>
          <w:rFonts w:hint="eastAsia"/>
          <w:color w:val="000000" w:themeColor="text1"/>
        </w:rPr>
        <w:t>　１　運搬車両</w:t>
      </w:r>
    </w:p>
    <w:p>
      <w:pPr>
        <w:pStyle w:val="0"/>
        <w:wordWrap w:val="1"/>
        <w:adjustRightInd w:val="1"/>
        <w:spacing w:line="300" w:lineRule="exact"/>
        <w:ind w:left="720" w:leftChars="100" w:hanging="480" w:hangingChars="200"/>
        <w:rPr>
          <w:rFonts w:hint="default"/>
          <w:color w:val="000000" w:themeColor="text1"/>
        </w:rPr>
      </w:pPr>
      <w:r>
        <w:rPr>
          <w:rFonts w:hint="eastAsia"/>
          <w:color w:val="000000" w:themeColor="text1"/>
        </w:rPr>
        <w:t>（１）運搬車両は、</w:t>
      </w:r>
      <w:r>
        <w:rPr>
          <w:rFonts w:hint="eastAsia"/>
          <w:b w:val="1"/>
          <w:color w:val="000000" w:themeColor="text1"/>
          <w:u w:val="single" w:color="auto"/>
        </w:rPr>
        <w:t>受入供給設備の開口部の寸法・配置等に適合し、支障なく進入及び積み込みが可能な車両をセンターで事前に確認すること。また、搬出日に予定される量を運搬出来る車両及び台数を確保すること。車両総重量は２０，０００㎏以内とすること。</w:t>
      </w:r>
    </w:p>
    <w:p>
      <w:pPr>
        <w:pStyle w:val="0"/>
        <w:wordWrap w:val="1"/>
        <w:adjustRightInd w:val="1"/>
        <w:spacing w:line="300" w:lineRule="exact"/>
        <w:ind w:left="720" w:leftChars="300" w:firstLine="240" w:firstLineChars="100"/>
        <w:rPr>
          <w:rFonts w:hint="default"/>
          <w:color w:val="000000" w:themeColor="text1"/>
        </w:rPr>
      </w:pPr>
      <w:r>
        <w:rPr>
          <w:rFonts w:hint="eastAsia"/>
          <w:color w:val="000000" w:themeColor="text1"/>
        </w:rPr>
        <w:t>焼却灰及びばいじんの運搬時は、荷台開口部をシート等で全面に覆い飛散防止を行うこと。シート等の開閉・脱着の方式は問わないが、走行時に風圧等によりめくれ又は隙間が生じないよう確実に固定すること。</w:t>
      </w:r>
    </w:p>
    <w:p>
      <w:pPr>
        <w:pStyle w:val="0"/>
        <w:wordWrap w:val="1"/>
        <w:adjustRightInd w:val="1"/>
        <w:spacing w:line="300" w:lineRule="exact"/>
        <w:ind w:left="720" w:leftChars="100" w:hanging="480" w:hangingChars="200"/>
        <w:rPr>
          <w:rFonts w:hint="default"/>
          <w:color w:val="000000" w:themeColor="text1"/>
        </w:rPr>
      </w:pPr>
      <w:r>
        <w:rPr>
          <w:rFonts w:hint="eastAsia"/>
          <w:color w:val="000000" w:themeColor="text1"/>
        </w:rPr>
        <w:t>（２）搬出日に搬出される焼却灰及びばいじんの量は約５</w:t>
      </w:r>
      <w:r>
        <w:rPr>
          <w:rFonts w:hint="eastAsia"/>
          <w:color w:val="000000" w:themeColor="text1"/>
        </w:rPr>
        <w:t>.</w:t>
      </w:r>
      <w:r>
        <w:rPr>
          <w:rFonts w:hint="eastAsia"/>
          <w:color w:val="000000" w:themeColor="text1"/>
        </w:rPr>
        <w:t>２～約１４</w:t>
      </w:r>
      <w:r>
        <w:rPr>
          <w:rFonts w:hint="eastAsia"/>
          <w:color w:val="000000" w:themeColor="text1"/>
        </w:rPr>
        <w:t>.</w:t>
      </w:r>
      <w:r>
        <w:rPr>
          <w:rFonts w:hint="eastAsia"/>
          <w:color w:val="000000" w:themeColor="text1"/>
        </w:rPr>
        <w:t>２トンとなる。その焼却灰及びばいじんを午前７時３０分から午後２時までにセンターにおいて積載し、指定する搬出先まで運搬すること。</w:t>
      </w:r>
    </w:p>
    <w:p>
      <w:pPr>
        <w:pStyle w:val="0"/>
        <w:wordWrap w:val="1"/>
        <w:adjustRightInd w:val="1"/>
        <w:spacing w:line="300" w:lineRule="exact"/>
        <w:ind w:left="720" w:leftChars="100" w:hanging="480" w:hangingChars="200"/>
        <w:rPr>
          <w:rFonts w:hint="default"/>
          <w:color w:val="000000" w:themeColor="text1"/>
        </w:rPr>
      </w:pPr>
      <w:r>
        <w:rPr>
          <w:rFonts w:hint="eastAsia"/>
          <w:color w:val="000000" w:themeColor="text1"/>
        </w:rPr>
        <w:t>（３）車検及び故障時は、速やかに代替車両を準備すること。その際は、運搬車両の写真及び車検証の写しを提出すること。</w:t>
      </w:r>
    </w:p>
    <w:p>
      <w:pPr>
        <w:pStyle w:val="0"/>
        <w:wordWrap w:val="1"/>
        <w:adjustRightInd w:val="1"/>
        <w:spacing w:line="300" w:lineRule="exact"/>
        <w:ind w:left="720" w:leftChars="100" w:hanging="480" w:hangingChars="200"/>
        <w:rPr>
          <w:rFonts w:hint="default"/>
          <w:color w:val="000000" w:themeColor="text1"/>
        </w:rPr>
      </w:pPr>
      <w:r>
        <w:rPr>
          <w:rFonts w:hint="eastAsia"/>
          <w:color w:val="000000" w:themeColor="text1"/>
        </w:rPr>
        <w:t>（４）受注者は運搬車両について、業務前に始業点検を行うなど常に整備点検を実施し、適正に維持管理しなければならない。</w:t>
      </w:r>
    </w:p>
    <w:p>
      <w:pPr>
        <w:pStyle w:val="0"/>
        <w:wordWrap w:val="1"/>
        <w:adjustRightInd w:val="1"/>
        <w:spacing w:line="300" w:lineRule="exact"/>
        <w:ind w:left="720" w:leftChars="100" w:hanging="480" w:hangingChars="200"/>
        <w:rPr>
          <w:rFonts w:hint="default"/>
          <w:color w:val="000000" w:themeColor="text1"/>
        </w:rPr>
      </w:pPr>
      <w:r>
        <w:rPr>
          <w:rFonts w:hint="eastAsia"/>
          <w:color w:val="000000" w:themeColor="text1"/>
        </w:rPr>
        <w:t>（５）運搬車両は、受注者の負担により対人、対物補償の付帯した自動車保険に加入すること。</w:t>
      </w:r>
    </w:p>
    <w:p>
      <w:pPr>
        <w:pStyle w:val="0"/>
        <w:wordWrap w:val="1"/>
        <w:adjustRightInd w:val="1"/>
        <w:spacing w:line="300" w:lineRule="exact"/>
        <w:ind w:firstLine="240" w:firstLineChars="100"/>
        <w:rPr>
          <w:rFonts w:hint="default"/>
          <w:color w:val="000000" w:themeColor="text1"/>
        </w:rPr>
      </w:pPr>
      <w:r>
        <w:rPr>
          <w:rFonts w:hint="eastAsia"/>
          <w:color w:val="000000" w:themeColor="text1"/>
        </w:rPr>
        <w:t>２　運転手、燃料等</w:t>
      </w:r>
    </w:p>
    <w:p>
      <w:pPr>
        <w:pStyle w:val="0"/>
        <w:wordWrap w:val="1"/>
        <w:adjustRightInd w:val="1"/>
        <w:spacing w:line="300" w:lineRule="exact"/>
        <w:ind w:left="720" w:leftChars="100" w:hanging="480" w:hangingChars="200"/>
        <w:rPr>
          <w:rFonts w:hint="default"/>
          <w:color w:val="000000" w:themeColor="text1"/>
        </w:rPr>
      </w:pPr>
      <w:r>
        <w:rPr>
          <w:rFonts w:hint="eastAsia"/>
          <w:color w:val="000000" w:themeColor="text1"/>
        </w:rPr>
        <w:t>（１）運搬車両の運転手（以下「業務運転手」という。）は、受注者において直接雇用する者とし、業務運転手、運搬車両の燃料その他運搬車両に要する経費は、すべて受注者の負担とする。</w:t>
      </w:r>
    </w:p>
    <w:p>
      <w:pPr>
        <w:pStyle w:val="0"/>
        <w:wordWrap w:val="1"/>
        <w:adjustRightInd w:val="1"/>
        <w:spacing w:line="300" w:lineRule="exact"/>
        <w:ind w:left="720" w:leftChars="100" w:hanging="480" w:hangingChars="200"/>
        <w:rPr>
          <w:rFonts w:hint="default"/>
          <w:color w:val="000000" w:themeColor="text1"/>
        </w:rPr>
      </w:pPr>
      <w:r>
        <w:rPr>
          <w:rFonts w:hint="eastAsia"/>
          <w:color w:val="000000" w:themeColor="text1"/>
        </w:rPr>
        <w:t>（２）業務運転手が業務に従事しているときもその健康状態に留意し、業務の遂行に支障があると認められる場合は、代替の業務運転手を用意すること。</w:t>
      </w:r>
    </w:p>
    <w:p>
      <w:pPr>
        <w:pStyle w:val="0"/>
        <w:wordWrap w:val="1"/>
        <w:adjustRightInd w:val="1"/>
        <w:spacing w:line="300" w:lineRule="exact"/>
        <w:ind w:left="720" w:hanging="720" w:hangingChars="300"/>
        <w:rPr>
          <w:rFonts w:hint="default"/>
          <w:color w:val="000000" w:themeColor="text1"/>
        </w:rPr>
      </w:pPr>
      <w:r>
        <w:rPr>
          <w:rFonts w:hint="eastAsia"/>
          <w:color w:val="000000" w:themeColor="text1"/>
        </w:rPr>
        <w:t>　３　その他</w:t>
      </w:r>
    </w:p>
    <w:p>
      <w:pPr>
        <w:pStyle w:val="0"/>
        <w:wordWrap w:val="1"/>
        <w:adjustRightInd w:val="1"/>
        <w:spacing w:line="300" w:lineRule="exact"/>
        <w:ind w:left="720" w:hanging="720" w:hangingChars="300"/>
        <w:rPr>
          <w:rFonts w:hint="default"/>
          <w:color w:val="000000" w:themeColor="text1"/>
        </w:rPr>
      </w:pPr>
      <w:r>
        <w:rPr>
          <w:rFonts w:hint="eastAsia"/>
          <w:color w:val="000000" w:themeColor="text1"/>
        </w:rPr>
        <w:t>　（１）焼却灰及びばいじんの積み降ろし作業及び計量作業については、各施設職員の指示に従うこと。</w:t>
      </w:r>
    </w:p>
    <w:p>
      <w:pPr>
        <w:pStyle w:val="0"/>
        <w:wordWrap w:val="1"/>
        <w:adjustRightInd w:val="1"/>
        <w:spacing w:line="300" w:lineRule="exact"/>
        <w:ind w:left="720" w:hanging="720" w:hangingChars="300"/>
        <w:rPr>
          <w:rFonts w:hint="default"/>
          <w:color w:val="000000" w:themeColor="text1"/>
        </w:rPr>
      </w:pPr>
      <w:r>
        <w:rPr>
          <w:rFonts w:hint="eastAsia"/>
          <w:color w:val="000000" w:themeColor="text1"/>
        </w:rPr>
        <w:t>　（２）業務中は積荷に他のものを混入しないこと。</w:t>
      </w:r>
    </w:p>
    <w:p>
      <w:pPr>
        <w:pStyle w:val="0"/>
        <w:wordWrap w:val="1"/>
        <w:adjustRightInd w:val="1"/>
        <w:spacing w:line="300" w:lineRule="exact"/>
        <w:ind w:left="720" w:hanging="720" w:hangingChars="300"/>
        <w:rPr>
          <w:rFonts w:hint="default"/>
          <w:color w:val="000000" w:themeColor="text1"/>
        </w:rPr>
      </w:pPr>
      <w:r>
        <w:rPr>
          <w:rFonts w:hint="eastAsia"/>
          <w:color w:val="000000" w:themeColor="text1"/>
        </w:rPr>
        <w:t>　（３）</w:t>
      </w:r>
      <w:r>
        <w:rPr>
          <w:rFonts w:hint="default"/>
          <w:color w:val="000000" w:themeColor="text1"/>
        </w:rPr>
        <w:t>受注者は、運搬中に</w:t>
      </w:r>
      <w:r>
        <w:rPr>
          <w:rFonts w:hint="eastAsia"/>
          <w:color w:val="000000" w:themeColor="text1"/>
        </w:rPr>
        <w:t>焼却灰及びばいじん</w:t>
      </w:r>
      <w:r>
        <w:rPr>
          <w:rFonts w:hint="default"/>
          <w:color w:val="000000" w:themeColor="text1"/>
        </w:rPr>
        <w:t>が飛散又は流出しないよう必要な措置</w:t>
      </w:r>
      <w:r>
        <w:rPr>
          <w:rFonts w:hint="eastAsia"/>
          <w:color w:val="000000" w:themeColor="text1"/>
        </w:rPr>
        <w:t>（シート等による確実な被覆を含む）</w:t>
      </w:r>
      <w:r>
        <w:rPr>
          <w:rFonts w:hint="default"/>
          <w:color w:val="000000" w:themeColor="text1"/>
        </w:rPr>
        <w:t>を講じなければならない。万一、飛散又は流出が生じた場合は、受注者の責任及び負担において直ちに回収・清掃等の必要な処理を行い、周辺の安全確保及び二次被害の防止に努めるとともに、発注者に遅滞なく報告しなければならない。また、原因を確認の上、再発防止策を講じること。</w:t>
      </w:r>
    </w:p>
    <w:p>
      <w:pPr>
        <w:pStyle w:val="0"/>
        <w:wordWrap w:val="1"/>
        <w:adjustRightInd w:val="1"/>
        <w:spacing w:line="300" w:lineRule="exact"/>
        <w:ind w:left="720" w:hanging="720" w:hangingChars="300"/>
        <w:rPr>
          <w:rFonts w:hint="default"/>
          <w:color w:val="000000" w:themeColor="text1"/>
        </w:rPr>
      </w:pPr>
      <w:r>
        <w:rPr>
          <w:rFonts w:hint="eastAsia"/>
          <w:color w:val="000000" w:themeColor="text1"/>
        </w:rPr>
        <w:t>　（４）受注者は当月分の業務状況について、報告書を翌月の指定された期日までに発注者に延滞なく提出すること。また、報告書で使用する運搬数量はセンターで計量した値とすること。</w:t>
      </w:r>
    </w:p>
    <w:p>
      <w:pPr>
        <w:pStyle w:val="0"/>
        <w:wordWrap w:val="1"/>
        <w:adjustRightInd w:val="1"/>
        <w:spacing w:line="300" w:lineRule="exact"/>
        <w:ind w:left="720" w:hanging="720" w:hangingChars="300"/>
        <w:rPr>
          <w:rFonts w:hint="default"/>
          <w:color w:val="000000" w:themeColor="text1"/>
        </w:rPr>
      </w:pPr>
      <w:r>
        <w:rPr>
          <w:rFonts w:hint="eastAsia"/>
          <w:color w:val="000000" w:themeColor="text1"/>
        </w:rPr>
        <w:t>　（５）業務で使用する運搬車両の写真及び車検証の写し、並びに業務運転手の免許証の写しを業務開始前までに発注者に提出すること。</w:t>
      </w: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firstLine="1200" w:firstLineChars="500"/>
        <w:rPr>
          <w:rFonts w:hint="default"/>
          <w:color w:val="000000" w:themeColor="text1"/>
        </w:rPr>
      </w:pPr>
      <w:r>
        <w:rPr>
          <w:rFonts w:hint="eastAsia"/>
          <w:color w:val="000000" w:themeColor="text1"/>
        </w:rPr>
        <w:t>受入供給設備の開口部寸法・配置</w:t>
      </w: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r>
        <w:rPr>
          <w:rFonts w:hint="default"/>
          <w:color w:val="000000" w:themeColor="text1"/>
        </w:rPr>
        <w:drawing>
          <wp:anchor distT="0" distB="0" distL="114300" distR="114300" simplePos="0" relativeHeight="2" behindDoc="0" locked="0" layoutInCell="1" hidden="0" allowOverlap="1">
            <wp:simplePos x="0" y="0"/>
            <wp:positionH relativeFrom="column">
              <wp:posOffset>915035</wp:posOffset>
            </wp:positionH>
            <wp:positionV relativeFrom="paragraph">
              <wp:posOffset>-546100</wp:posOffset>
            </wp:positionV>
            <wp:extent cx="4248150" cy="2265045"/>
            <wp:effectExtent l="0" t="0" r="0" b="0"/>
            <wp:wrapNone/>
            <wp:docPr id="1026" name="Picture 2"/>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5"/>
                    <a:stretch>
                      <a:fillRect/>
                    </a:stretch>
                  </pic:blipFill>
                  <pic:spPr>
                    <a:xfrm>
                      <a:off x="0" y="0"/>
                      <a:ext cx="4248150" cy="2265045"/>
                    </a:xfrm>
                    <a:prstGeom prst="rect">
                      <a:avLst/>
                    </a:prstGeom>
                    <a:noFill/>
                    <a:ln>
                      <a:noFill/>
                    </a:ln>
                  </pic:spPr>
                </pic:pic>
              </a:graphicData>
            </a:graphic>
          </wp:anchor>
        </w:drawing>
      </w:r>
    </w:p>
    <w:p>
      <w:pPr>
        <w:pStyle w:val="0"/>
        <w:wordWrap w:val="1"/>
        <w:adjustRightInd w:val="1"/>
        <w:spacing w:line="300" w:lineRule="exact"/>
        <w:ind w:left="720" w:hanging="720" w:hangingChars="300"/>
        <w:rPr>
          <w:rFonts w:hint="default"/>
          <w:color w:val="000000" w:themeColor="text1"/>
        </w:rPr>
      </w:pPr>
    </w:p>
    <w:p>
      <w:pPr>
        <w:pStyle w:val="0"/>
        <w:wordWrap w:val="1"/>
        <w:adjustRightInd w:val="1"/>
        <w:spacing w:line="300" w:lineRule="exact"/>
        <w:ind w:left="720" w:hanging="720" w:hangingChars="300"/>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ind w:firstLine="240" w:firstLineChars="100"/>
        <w:rPr>
          <w:rFonts w:hint="default"/>
          <w:color w:val="000000" w:themeColor="text1"/>
        </w:rPr>
      </w:pPr>
    </w:p>
    <w:p>
      <w:pPr>
        <w:pStyle w:val="0"/>
        <w:wordWrap w:val="1"/>
        <w:spacing w:line="300" w:lineRule="exact"/>
        <w:ind w:firstLine="1200" w:firstLineChars="500"/>
        <w:rPr>
          <w:rFonts w:hint="default"/>
          <w:color w:val="000000" w:themeColor="text1"/>
        </w:rPr>
      </w:pPr>
    </w:p>
    <w:p>
      <w:pPr>
        <w:pStyle w:val="0"/>
        <w:wordWrap w:val="1"/>
        <w:spacing w:line="300" w:lineRule="exact"/>
        <w:ind w:firstLine="1200" w:firstLineChars="500"/>
        <w:rPr>
          <w:rFonts w:hint="default"/>
          <w:color w:val="000000" w:themeColor="text1"/>
        </w:rPr>
      </w:pPr>
      <w:r>
        <w:rPr>
          <w:rFonts w:hint="eastAsia"/>
          <w:color w:val="000000" w:themeColor="text1"/>
        </w:rPr>
        <w:t>①主灰搬出口</w:t>
      </w:r>
    </w:p>
    <w:p>
      <w:pPr>
        <w:pStyle w:val="0"/>
        <w:wordWrap w:val="1"/>
        <w:spacing w:line="300" w:lineRule="exact"/>
        <w:rPr>
          <w:rFonts w:hint="default"/>
          <w:color w:val="000000" w:themeColor="text1"/>
        </w:rPr>
      </w:pPr>
      <w:r>
        <w:rPr>
          <w:rFonts w:hint="default"/>
          <w:color w:val="000000" w:themeColor="text1"/>
        </w:rPr>
        <w:drawing>
          <wp:anchor distT="0" distB="0" distL="114300" distR="114300" simplePos="0" relativeHeight="3" behindDoc="0" locked="0" layoutInCell="1" hidden="0" allowOverlap="1">
            <wp:simplePos x="0" y="0"/>
            <wp:positionH relativeFrom="column">
              <wp:posOffset>1413510</wp:posOffset>
            </wp:positionH>
            <wp:positionV relativeFrom="paragraph">
              <wp:posOffset>22860</wp:posOffset>
            </wp:positionV>
            <wp:extent cx="3209925" cy="3298190"/>
            <wp:effectExtent l="0" t="0" r="0" b="0"/>
            <wp:wrapNone/>
            <wp:docPr id="1027" name="Picture 3"/>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6"/>
                    <a:stretch>
                      <a:fillRect/>
                    </a:stretch>
                  </pic:blipFill>
                  <pic:spPr>
                    <a:xfrm>
                      <a:off x="0" y="0"/>
                      <a:ext cx="3209925" cy="3298190"/>
                    </a:xfrm>
                    <a:prstGeom prst="rect">
                      <a:avLst/>
                    </a:prstGeom>
                    <a:noFill/>
                    <a:ln>
                      <a:noFill/>
                    </a:ln>
                  </pic:spPr>
                </pic:pic>
              </a:graphicData>
            </a:graphic>
          </wp:anchor>
        </w:drawing>
      </w: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ind w:firstLine="1200" w:firstLineChars="500"/>
        <w:rPr>
          <w:rFonts w:hint="default"/>
          <w:color w:val="000000" w:themeColor="text1"/>
        </w:rPr>
      </w:pPr>
    </w:p>
    <w:p>
      <w:pPr>
        <w:pStyle w:val="0"/>
        <w:wordWrap w:val="1"/>
        <w:spacing w:line="300" w:lineRule="exact"/>
        <w:ind w:firstLine="1200" w:firstLineChars="500"/>
        <w:rPr>
          <w:rFonts w:hint="default"/>
          <w:color w:val="000000" w:themeColor="text1"/>
        </w:rPr>
      </w:pPr>
    </w:p>
    <w:p>
      <w:pPr>
        <w:pStyle w:val="0"/>
        <w:wordWrap w:val="1"/>
        <w:spacing w:line="300" w:lineRule="exact"/>
        <w:ind w:firstLine="1200" w:firstLineChars="500"/>
        <w:rPr>
          <w:rFonts w:hint="default"/>
          <w:color w:val="000000" w:themeColor="text1"/>
        </w:rPr>
      </w:pPr>
    </w:p>
    <w:p>
      <w:pPr>
        <w:pStyle w:val="0"/>
        <w:wordWrap w:val="1"/>
        <w:spacing w:line="300" w:lineRule="exact"/>
        <w:ind w:firstLine="1200" w:firstLineChars="500"/>
        <w:rPr>
          <w:rFonts w:hint="default"/>
          <w:color w:val="000000" w:themeColor="text1"/>
        </w:rPr>
      </w:pPr>
    </w:p>
    <w:p>
      <w:pPr>
        <w:pStyle w:val="0"/>
        <w:wordWrap w:val="1"/>
        <w:spacing w:line="300" w:lineRule="exact"/>
        <w:ind w:firstLine="1200" w:firstLineChars="500"/>
        <w:rPr>
          <w:rFonts w:hint="default"/>
          <w:color w:val="000000" w:themeColor="text1"/>
        </w:rPr>
      </w:pPr>
    </w:p>
    <w:p>
      <w:pPr>
        <w:pStyle w:val="0"/>
        <w:wordWrap w:val="1"/>
        <w:spacing w:line="300" w:lineRule="exact"/>
        <w:ind w:firstLine="1200" w:firstLineChars="500"/>
        <w:rPr>
          <w:rFonts w:hint="default"/>
          <w:color w:val="000000" w:themeColor="text1"/>
        </w:rPr>
      </w:pPr>
    </w:p>
    <w:p>
      <w:pPr>
        <w:pStyle w:val="0"/>
        <w:wordWrap w:val="1"/>
        <w:spacing w:line="300" w:lineRule="exact"/>
        <w:ind w:firstLine="1200" w:firstLineChars="500"/>
        <w:rPr>
          <w:rFonts w:hint="default"/>
          <w:color w:val="000000" w:themeColor="text1"/>
        </w:rPr>
      </w:pPr>
    </w:p>
    <w:p>
      <w:pPr>
        <w:pStyle w:val="0"/>
        <w:wordWrap w:val="1"/>
        <w:spacing w:line="300" w:lineRule="exact"/>
        <w:rPr>
          <w:rFonts w:hint="default"/>
          <w:color w:val="000000" w:themeColor="text1"/>
        </w:rPr>
      </w:pPr>
    </w:p>
    <w:p>
      <w:pPr>
        <w:pStyle w:val="0"/>
        <w:wordWrap w:val="1"/>
        <w:spacing w:line="300" w:lineRule="exact"/>
        <w:ind w:firstLine="1200" w:firstLineChars="500"/>
        <w:rPr>
          <w:rFonts w:hint="default"/>
          <w:color w:val="000000" w:themeColor="text1"/>
        </w:rPr>
      </w:pPr>
      <w:r>
        <w:rPr>
          <w:rFonts w:hint="default"/>
          <w:color w:val="000000" w:themeColor="text1"/>
        </w:rPr>
        <w:drawing>
          <wp:anchor distT="0" distB="0" distL="114300" distR="114300" simplePos="0" relativeHeight="4" behindDoc="0" locked="0" layoutInCell="1" hidden="0" allowOverlap="1">
            <wp:simplePos x="0" y="0"/>
            <wp:positionH relativeFrom="column">
              <wp:posOffset>1412875</wp:posOffset>
            </wp:positionH>
            <wp:positionV relativeFrom="paragraph">
              <wp:posOffset>234315</wp:posOffset>
            </wp:positionV>
            <wp:extent cx="3216275" cy="3309620"/>
            <wp:effectExtent l="0" t="0" r="0" b="0"/>
            <wp:wrapNone/>
            <wp:docPr id="1028" name="図 1"/>
            <a:graphic xmlns:a="http://schemas.openxmlformats.org/drawingml/2006/main">
              <a:graphicData uri="http://schemas.openxmlformats.org/drawingml/2006/picture">
                <pic:pic xmlns:pic="http://schemas.openxmlformats.org/drawingml/2006/picture">
                  <pic:nvPicPr>
                    <pic:cNvPr id="1028" name="図 1"/>
                    <pic:cNvPicPr>
                      <a:picLocks noChangeAspect="1" noChangeArrowheads="1"/>
                    </pic:cNvPicPr>
                  </pic:nvPicPr>
                  <pic:blipFill>
                    <a:blip r:embed="rId7"/>
                    <a:stretch>
                      <a:fillRect/>
                    </a:stretch>
                  </pic:blipFill>
                  <pic:spPr>
                    <a:xfrm>
                      <a:off x="0" y="0"/>
                      <a:ext cx="3216275" cy="3309620"/>
                    </a:xfrm>
                    <a:prstGeom prst="rect">
                      <a:avLst/>
                    </a:prstGeom>
                    <a:noFill/>
                    <a:ln>
                      <a:noFill/>
                    </a:ln>
                  </pic:spPr>
                </pic:pic>
              </a:graphicData>
            </a:graphic>
          </wp:anchor>
        </w:drawing>
      </w:r>
      <w:r>
        <w:rPr>
          <w:rFonts w:hint="eastAsia"/>
          <w:color w:val="000000" w:themeColor="text1"/>
        </w:rPr>
        <w:t>②飛灰搬出口</w:t>
      </w:r>
    </w:p>
    <w:sectPr>
      <w:type w:val="continuous"/>
      <w:pgSz w:w="11906" w:h="16838"/>
      <w:pgMar w:top="1134" w:right="1134" w:bottom="1134" w:left="1134" w:header="720" w:footer="720" w:gutter="0"/>
      <w:pgNumType w:start="1"/>
      <w:cols w:space="720"/>
      <w:noEndnote w:val="1"/>
      <w:textDirection w:val="lrTb"/>
      <w:docGrid w:type="linesAndChars" w:linePitch="27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962"/>
  <w:drawingGridHorizontalSpacing w:val="1"/>
  <w:drawingGridVerticalSpacing w:val="279"/>
  <w:displayHorizontalDrawingGridEvery w:val="0"/>
  <w:doNotUseMarginsForDrawingGridOrigin/>
  <w:doNotShadeFormData/>
  <w:noLineBreaksAfter w:lang="ja-JP" w:val="([{〈《「『【〔（［｛｢"/>
  <w:noLineBreaksBefore w:lang="ja-JP" w:val="!),.?]}、。〉》」』】〕！），．？］｝｡｣､ﾞﾟ"/>
  <w:hdrShapeDefaults>
    <o:shapelayout v:ext="edit"/>
  </w:hdrShapeDefaults>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kern w:val="2"/>
        <w:sz w:val="21"/>
      </w:rPr>
    </w:rPrDefault>
    <w:pPrDefault/>
  </w:docDefaults>
  <w:style w:type="paragraph" w:styleId="0" w:default="1">
    <w:name w:val="Normal"/>
    <w:next w:val="0"/>
    <w:link w:val="0"/>
    <w:uiPriority w:val="0"/>
    <w:qFormat/>
    <w:pPr>
      <w:widowControl w:val="0"/>
      <w:suppressAutoHyphens w:val="1"/>
      <w:wordWrap w:val="0"/>
      <w:adjustRightInd w:val="0"/>
      <w:textAlignment w:val="baseline"/>
    </w:pPr>
    <w:rPr>
      <w:rFonts w:ascii="ＭＳ 明朝" w:hAnsi="ＭＳ 明朝"/>
      <w:color w:val="000000"/>
      <w:kern w:val="0"/>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color w:val="000000"/>
      <w:kern w:val="0"/>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rPr>
      <w:rFonts w:ascii="ＭＳ 明朝" w:hAnsi="ＭＳ 明朝" w:eastAsia="ＭＳ 明朝"/>
      <w:color w:val="000000"/>
      <w:kern w:val="0"/>
      <w:sz w:val="24"/>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rPr>
      <w:rFonts w:ascii="ＭＳ 明朝" w:hAnsi="ＭＳ 明朝" w:eastAsia="ＭＳ 明朝"/>
      <w:color w:val="000000"/>
      <w:kern w:val="0"/>
      <w:sz w:val="24"/>
    </w:rPr>
  </w:style>
  <w:style w:type="paragraph" w:styleId="21">
    <w:name w:val="HTML Preformatted"/>
    <w:basedOn w:val="0"/>
    <w:next w:val="21"/>
    <w:link w:val="22"/>
    <w:uiPriority w:val="0"/>
    <w:rPr>
      <w:rFonts w:ascii="Courier New" w:hAnsi="Courier New"/>
      <w:sz w:val="20"/>
    </w:rPr>
  </w:style>
  <w:style w:type="character" w:styleId="22" w:customStyle="1">
    <w:name w:val="HTML 書式付き (文字)"/>
    <w:basedOn w:val="10"/>
    <w:next w:val="22"/>
    <w:link w:val="21"/>
    <w:uiPriority w:val="0"/>
    <w:rPr>
      <w:rFonts w:ascii="Courier New" w:hAnsi="Courier New"/>
      <w:color w:val="000000"/>
      <w:kern w:val="0"/>
      <w:sz w:val="20"/>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image" Target="media/image1.jpg" /><Relationship Id="rId6" Type="http://schemas.openxmlformats.org/officeDocument/2006/relationships/image" Target="media/image2.jpg" /><Relationship Id="rId7" Type="http://schemas.openxmlformats.org/officeDocument/2006/relationships/image" Target="media/image3.jpg"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2254</TotalTime>
  <Pages>3</Pages>
  <Words>19</Words>
  <Characters>1766</Characters>
  <Application>JUST Note</Application>
  <Lines>262</Lines>
  <Paragraphs>60</Paragraphs>
  <CharactersWithSpaces>1847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cp:lastPrinted>2026-04-28T02:36:10Z</cp:lastPrinted>
  <dcterms:modified xsi:type="dcterms:W3CDTF">2026-04-28T07:52:37Z</dcterms:modified>
  <cp:revision>2</cp:revision>
</cp:coreProperties>
</file>