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ind w:firstLine="70"/>
        <w:jc w:val="center"/>
        <w:rPr>
          <w:rFonts w:hint="eastAsia" w:asciiTheme="minorEastAsia" w:hAnsiTheme="minorEastAsia" w:eastAsiaTheme="minorEastAsia"/>
          <w:sz w:val="28"/>
        </w:rPr>
      </w:pPr>
      <w:r>
        <w:rPr>
          <w:rFonts w:hint="eastAsia" w:asciiTheme="minorEastAsia" w:hAnsiTheme="minorEastAsia" w:eastAsiaTheme="minorEastAsia"/>
          <w:sz w:val="28"/>
        </w:rPr>
        <w:t>除雪機仕様書</w:t>
      </w:r>
    </w:p>
    <w:p>
      <w:pPr>
        <w:pStyle w:val="0"/>
        <w:rPr>
          <w:rFonts w:hint="eastAsia" w:asciiTheme="minorEastAsia" w:hAnsiTheme="minorEastAsia" w:eastAsiaTheme="minorEastAsia"/>
          <w:sz w:val="24"/>
        </w:rPr>
      </w:pPr>
    </w:p>
    <w:p>
      <w:pPr>
        <w:pStyle w:val="0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１品　名　除雪機</w:t>
      </w:r>
    </w:p>
    <w:p>
      <w:pPr>
        <w:pStyle w:val="0"/>
        <w:rPr>
          <w:rFonts w:hint="eastAsia" w:asciiTheme="minorEastAsia" w:hAnsiTheme="minorEastAsia" w:eastAsiaTheme="minorEastAsia"/>
          <w:sz w:val="24"/>
        </w:rPr>
      </w:pPr>
    </w:p>
    <w:p>
      <w:pPr>
        <w:pStyle w:val="0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２数　量　１台</w:t>
      </w:r>
    </w:p>
    <w:p>
      <w:pPr>
        <w:pStyle w:val="0"/>
        <w:rPr>
          <w:rFonts w:hint="eastAsia" w:asciiTheme="minorEastAsia" w:hAnsiTheme="minorEastAsia" w:eastAsiaTheme="minorEastAsia"/>
          <w:sz w:val="24"/>
        </w:rPr>
      </w:pPr>
    </w:p>
    <w:p>
      <w:pPr>
        <w:pStyle w:val="0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３規格・仕様　　◎本体は新品とし、下記の規格を満たすこと。</w:t>
      </w:r>
    </w:p>
    <w:p>
      <w:pPr>
        <w:pStyle w:val="0"/>
        <w:rPr>
          <w:rFonts w:hint="eastAsia" w:asciiTheme="minorEastAsia" w:hAnsiTheme="minorEastAsia" w:eastAsiaTheme="minorEastAsia"/>
          <w:sz w:val="24"/>
        </w:rPr>
      </w:pPr>
    </w:p>
    <w:p>
      <w:pPr>
        <w:pStyle w:val="0"/>
        <w:rPr>
          <w:rFonts w:hint="eastAsia" w:asciiTheme="minorEastAsia" w:hAnsiTheme="minorEastAsia" w:eastAsiaTheme="minorEastAsia"/>
          <w:color w:val="auto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（１）最大除雪能力　　　　</w:t>
      </w:r>
      <w:r>
        <w:rPr>
          <w:rFonts w:hint="eastAsia" w:asciiTheme="minorEastAsia" w:hAnsiTheme="minorEastAsia" w:eastAsiaTheme="minorEastAsia"/>
          <w:color w:val="auto"/>
          <w:sz w:val="24"/>
        </w:rPr>
        <w:t>１３５ｔ</w:t>
      </w:r>
      <w:r>
        <w:rPr>
          <w:rFonts w:hint="eastAsia" w:asciiTheme="minorEastAsia" w:hAnsiTheme="minorEastAsia" w:eastAsiaTheme="minorEastAsia"/>
          <w:color w:val="auto"/>
          <w:sz w:val="24"/>
        </w:rPr>
        <w:t>/</w:t>
      </w:r>
      <w:r>
        <w:rPr>
          <w:rFonts w:hint="eastAsia" w:asciiTheme="minorEastAsia" w:hAnsiTheme="minorEastAsia" w:eastAsiaTheme="minorEastAsia"/>
          <w:color w:val="auto"/>
          <w:sz w:val="24"/>
        </w:rPr>
        <w:t>ｈ　以上</w:t>
      </w:r>
    </w:p>
    <w:p>
      <w:pPr>
        <w:pStyle w:val="0"/>
        <w:rPr>
          <w:rFonts w:hint="eastAsia" w:asciiTheme="minorEastAsia" w:hAnsiTheme="minorEastAsia" w:eastAsiaTheme="minorEastAsia"/>
          <w:color w:val="auto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（２）除雪幅　　　　　　　</w:t>
      </w:r>
      <w:r>
        <w:rPr>
          <w:rFonts w:hint="eastAsia" w:asciiTheme="minorEastAsia" w:hAnsiTheme="minorEastAsia" w:eastAsiaTheme="minorEastAsia"/>
          <w:color w:val="auto"/>
          <w:sz w:val="24"/>
        </w:rPr>
        <w:t>１１０ｃｍ　以上</w:t>
      </w:r>
    </w:p>
    <w:p>
      <w:pPr>
        <w:pStyle w:val="0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（３）最大投雪距離　　　　</w:t>
      </w:r>
      <w:r>
        <w:rPr>
          <w:rFonts w:hint="eastAsia" w:asciiTheme="minorEastAsia" w:hAnsiTheme="minorEastAsia" w:eastAsiaTheme="minorEastAsia"/>
          <w:color w:val="auto"/>
          <w:sz w:val="24"/>
        </w:rPr>
        <w:t>２５ｍ　以上</w:t>
      </w:r>
    </w:p>
    <w:p>
      <w:pPr>
        <w:pStyle w:val="0"/>
        <w:rPr>
          <w:rFonts w:hint="eastAsia" w:asciiTheme="minorEastAsia" w:hAnsiTheme="minorEastAsia" w:eastAsiaTheme="minorEastAsia"/>
          <w:color w:val="FF0000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（４）最大出力　　　　　　</w:t>
      </w:r>
      <w:r>
        <w:rPr>
          <w:rFonts w:hint="eastAsia" w:asciiTheme="minorEastAsia" w:hAnsiTheme="minorEastAsia" w:eastAsiaTheme="minorEastAsia"/>
          <w:color w:val="auto"/>
          <w:sz w:val="24"/>
        </w:rPr>
        <w:t>２２</w:t>
      </w:r>
      <w:r>
        <w:rPr>
          <w:rFonts w:hint="eastAsia" w:asciiTheme="minorEastAsia" w:hAnsiTheme="minorEastAsia" w:eastAsiaTheme="minorEastAsia"/>
          <w:color w:val="auto"/>
          <w:sz w:val="24"/>
        </w:rPr>
        <w:t>.</w:t>
      </w:r>
      <w:r>
        <w:rPr>
          <w:rFonts w:hint="eastAsia" w:asciiTheme="minorEastAsia" w:hAnsiTheme="minorEastAsia" w:eastAsiaTheme="minorEastAsia"/>
          <w:color w:val="auto"/>
          <w:sz w:val="24"/>
        </w:rPr>
        <w:t>４ｐｓ　以上</w:t>
      </w:r>
    </w:p>
    <w:p>
      <w:pPr>
        <w:pStyle w:val="0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（５）走行変速方式　　　　無段変速</w:t>
      </w:r>
    </w:p>
    <w:p>
      <w:pPr>
        <w:pStyle w:val="0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（６）使用燃料　　　　　　自動車用無鉛ガソリン</w:t>
      </w:r>
    </w:p>
    <w:p>
      <w:pPr>
        <w:pStyle w:val="0"/>
        <w:rPr>
          <w:rFonts w:hint="eastAsia" w:asciiTheme="minorEastAsia" w:hAnsiTheme="minorEastAsia" w:eastAsiaTheme="minorEastAsia"/>
          <w:sz w:val="24"/>
        </w:rPr>
      </w:pPr>
    </w:p>
    <w:p>
      <w:pPr>
        <w:pStyle w:val="0"/>
        <w:rPr>
          <w:rFonts w:hint="eastAsia" w:asciiTheme="minorEastAsia" w:hAnsiTheme="minorEastAsia" w:eastAsiaTheme="minorEastAsia"/>
          <w:color w:val="auto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４納入場所　　　　</w:t>
      </w:r>
      <w:r>
        <w:rPr>
          <w:rFonts w:hint="eastAsia" w:asciiTheme="minorEastAsia" w:hAnsiTheme="minorEastAsia" w:eastAsiaTheme="minorEastAsia"/>
          <w:color w:val="FF0000"/>
          <w:sz w:val="24"/>
        </w:rPr>
        <w:t>　</w:t>
      </w:r>
      <w:r>
        <w:rPr>
          <w:rFonts w:hint="eastAsia" w:asciiTheme="minorEastAsia" w:hAnsiTheme="minorEastAsia" w:eastAsiaTheme="minorEastAsia"/>
          <w:color w:val="auto"/>
          <w:sz w:val="24"/>
        </w:rPr>
        <w:t>五所川原市大字神山字山越１－２６</w:t>
      </w:r>
    </w:p>
    <w:p>
      <w:pPr>
        <w:pStyle w:val="0"/>
        <w:ind w:firstLine="2400" w:firstLineChars="1000"/>
        <w:rPr>
          <w:rFonts w:hint="eastAsia" w:asciiTheme="minorEastAsia" w:hAnsiTheme="minorEastAsia" w:eastAsiaTheme="minorEastAsia"/>
          <w:color w:val="auto"/>
          <w:sz w:val="24"/>
        </w:rPr>
      </w:pPr>
      <w:r>
        <w:rPr>
          <w:rFonts w:hint="eastAsia" w:asciiTheme="minorEastAsia" w:hAnsiTheme="minorEastAsia" w:eastAsiaTheme="minorEastAsia"/>
          <w:color w:val="auto"/>
          <w:sz w:val="24"/>
        </w:rPr>
        <w:t>TEL</w:t>
      </w:r>
      <w:r>
        <w:rPr>
          <w:rFonts w:hint="eastAsia" w:asciiTheme="minorEastAsia" w:hAnsiTheme="minorEastAsia" w:eastAsiaTheme="minorEastAsia"/>
          <w:color w:val="auto"/>
          <w:sz w:val="24"/>
        </w:rPr>
        <w:t>　０１７３－２９－３０１１</w:t>
      </w:r>
    </w:p>
    <w:p>
      <w:pPr>
        <w:pStyle w:val="0"/>
        <w:ind w:firstLine="2400" w:firstLineChars="1000"/>
        <w:rPr>
          <w:rFonts w:hint="eastAsia" w:asciiTheme="minorEastAsia" w:hAnsiTheme="minorEastAsia" w:eastAsiaTheme="minorEastAsia"/>
          <w:color w:val="auto"/>
          <w:sz w:val="24"/>
        </w:rPr>
      </w:pPr>
      <w:r>
        <w:rPr>
          <w:rFonts w:hint="eastAsia" w:asciiTheme="minorEastAsia" w:hAnsiTheme="minorEastAsia" w:eastAsiaTheme="minorEastAsia"/>
          <w:color w:val="auto"/>
          <w:sz w:val="24"/>
        </w:rPr>
        <w:t>東峰小学校</w:t>
      </w:r>
    </w:p>
    <w:p>
      <w:pPr>
        <w:pStyle w:val="0"/>
        <w:rPr>
          <w:rFonts w:hint="eastAsia" w:asciiTheme="minorEastAsia" w:hAnsiTheme="minorEastAsia" w:eastAsiaTheme="minorEastAsia"/>
          <w:sz w:val="24"/>
        </w:rPr>
      </w:pPr>
    </w:p>
    <w:p>
      <w:pPr>
        <w:pStyle w:val="0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５納入条件</w:t>
      </w:r>
    </w:p>
    <w:p>
      <w:pPr>
        <w:pStyle w:val="0"/>
        <w:ind w:left="720" w:hanging="720" w:hangingChars="300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（１）落札者が直接納入し、落札者と学校職員の双方で確認・操作等の説明を実施すること。</w:t>
      </w:r>
    </w:p>
    <w:p>
      <w:pPr>
        <w:pStyle w:val="0"/>
        <w:ind w:firstLine="720" w:firstLineChars="300"/>
        <w:rPr>
          <w:rFonts w:hint="eastAsia" w:asciiTheme="minorEastAsia" w:hAnsiTheme="minorEastAsia" w:eastAsiaTheme="minorEastAsia"/>
          <w:sz w:val="24"/>
        </w:rPr>
      </w:pPr>
    </w:p>
    <w:p>
      <w:pPr>
        <w:pStyle w:val="0"/>
        <w:rPr>
          <w:rFonts w:hint="eastAsia" w:asciiTheme="minorEastAsia" w:hAnsiTheme="minorEastAsia" w:eastAsiaTheme="minorEastAsia"/>
          <w:color w:val="auto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６納入期限　　　　</w:t>
      </w:r>
      <w:r>
        <w:rPr>
          <w:rFonts w:hint="eastAsia" w:asciiTheme="minorEastAsia" w:hAnsiTheme="minorEastAsia" w:eastAsiaTheme="minorEastAsia"/>
          <w:color w:val="auto"/>
          <w:sz w:val="24"/>
        </w:rPr>
        <w:t>　令和８年１２月２５日（金）</w:t>
      </w:r>
      <w:bookmarkStart w:id="0" w:name="_GoBack"/>
      <w:bookmarkEnd w:id="0"/>
    </w:p>
    <w:p>
      <w:pPr>
        <w:pStyle w:val="0"/>
        <w:rPr>
          <w:rFonts w:hint="eastAsia" w:asciiTheme="minorEastAsia" w:hAnsiTheme="minorEastAsia" w:eastAsiaTheme="minorEastAsia"/>
          <w:sz w:val="24"/>
        </w:rPr>
      </w:pPr>
    </w:p>
    <w:p>
      <w:pPr>
        <w:pStyle w:val="0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７その他　　　　　　　　</w:t>
      </w:r>
    </w:p>
    <w:p>
      <w:pPr>
        <w:pStyle w:val="15"/>
        <w:numPr>
          <w:ilvl w:val="0"/>
          <w:numId w:val="1"/>
        </w:numPr>
        <w:ind w:leftChars="0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入札金額は、納入に係る経費を含み、税抜き価格が分かるよう明記すること。</w:t>
      </w:r>
    </w:p>
    <w:p>
      <w:pPr>
        <w:pStyle w:val="0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（２）受注者は、学校の指示する場所へ納品すること。</w:t>
      </w:r>
    </w:p>
    <w:p>
      <w:pPr>
        <w:pStyle w:val="0"/>
        <w:rPr>
          <w:rFonts w:hint="eastAsia" w:asciiTheme="minorEastAsia" w:hAnsiTheme="minorEastAsia" w:eastAsiaTheme="minorEastAsia"/>
          <w:sz w:val="24"/>
        </w:rPr>
      </w:pPr>
    </w:p>
    <w:p>
      <w:pPr>
        <w:pStyle w:val="0"/>
        <w:rPr>
          <w:rFonts w:hint="eastAsia" w:asciiTheme="minorEastAsia" w:hAnsiTheme="minorEastAsia" w:eastAsiaTheme="minorEastAsia"/>
          <w:sz w:val="24"/>
        </w:rPr>
      </w:pPr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メイリオ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hybridMultilevel"/>
    <w:tmpl w:val="7BBAF42A"/>
    <w:lvl w:ilvl="0" w:tplc="EB40B4A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doNotDisplayPageBoundaries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List Paragraph"/>
    <w:basedOn w:val="0"/>
    <w:next w:val="15"/>
    <w:link w:val="0"/>
    <w:uiPriority w:val="0"/>
    <w:qFormat/>
    <w:pPr>
      <w:ind w:left="840" w:leftChars="400"/>
    </w:pPr>
  </w:style>
  <w:style w:type="character" w:styleId="16">
    <w:name w:val="footnote reference"/>
    <w:basedOn w:val="10"/>
    <w:next w:val="16"/>
    <w:link w:val="0"/>
    <w:uiPriority w:val="0"/>
    <w:semiHidden/>
    <w:rPr>
      <w:vertAlign w:val="superscript"/>
    </w:rPr>
  </w:style>
  <w:style w:type="character" w:styleId="17">
    <w:name w:val="endnote reference"/>
    <w:basedOn w:val="10"/>
    <w:next w:val="17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519</TotalTime>
  <Pages>1</Pages>
  <Words>1</Words>
  <Characters>303</Characters>
  <Application>JUST Note</Application>
  <Lines>30</Lines>
  <Paragraphs>19</Paragraphs>
  <CharactersWithSpaces>363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cp:lastPrinted>2022-05-24T01:52:26Z</cp:lastPrinted>
  <dcterms:created xsi:type="dcterms:W3CDTF">2019-05-24T02:17:00Z</dcterms:created>
  <dcterms:modified xsi:type="dcterms:W3CDTF">2025-03-12T06:05:53Z</dcterms:modified>
  <cp:revision>15</cp:revision>
</cp:coreProperties>
</file>