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default"/>
          <w:sz w:val="44"/>
        </w:rPr>
      </w:pPr>
      <w:r>
        <w:rPr>
          <w:rFonts w:hint="eastAsia"/>
          <w:kern w:val="0"/>
        </w:rPr>
        <w:t xml:space="preserve">  </w:t>
      </w:r>
      <w:r>
        <w:rPr>
          <w:rFonts w:hint="eastAsia"/>
          <w:spacing w:val="210"/>
          <w:kern w:val="0"/>
          <w:sz w:val="44"/>
          <w:fitText w:val="3885" w:id="1"/>
        </w:rPr>
        <w:t>修繕仕様</w:t>
      </w:r>
      <w:r>
        <w:rPr>
          <w:rFonts w:hint="eastAsia"/>
          <w:spacing w:val="2"/>
          <w:kern w:val="0"/>
          <w:sz w:val="44"/>
          <w:fitText w:val="3885" w:id="1"/>
        </w:rPr>
        <w:t>書</w:t>
      </w:r>
    </w:p>
    <w:p>
      <w:pPr>
        <w:pStyle w:val="0"/>
        <w:rPr>
          <w:rFonts w:hint="default"/>
        </w:rPr>
      </w:pPr>
    </w:p>
    <w:p>
      <w:pPr>
        <w:pStyle w:val="0"/>
        <w:spacing w:line="360" w:lineRule="auto"/>
        <w:rPr>
          <w:rFonts w:hint="default" w:ascii="ＭＳ 明朝" w:hAnsi="ＭＳ 明朝"/>
          <w:sz w:val="21"/>
        </w:rPr>
      </w:pPr>
      <w:r>
        <w:rPr>
          <w:rFonts w:hint="eastAsia"/>
          <w:sz w:val="21"/>
        </w:rPr>
        <w:t>１．</w:t>
      </w:r>
      <w:r>
        <w:rPr>
          <w:rFonts w:hint="eastAsia"/>
          <w:spacing w:val="128"/>
          <w:kern w:val="0"/>
          <w:sz w:val="21"/>
          <w:fitText w:val="1143" w:id="2"/>
        </w:rPr>
        <w:t>修繕</w:t>
      </w:r>
      <w:r>
        <w:rPr>
          <w:rFonts w:hint="eastAsia"/>
          <w:spacing w:val="0"/>
          <w:kern w:val="0"/>
          <w:sz w:val="21"/>
          <w:fitText w:val="1143" w:id="2"/>
        </w:rPr>
        <w:t>名</w:t>
      </w:r>
      <w:r>
        <w:rPr>
          <w:rFonts w:hint="eastAsia"/>
          <w:sz w:val="21"/>
        </w:rPr>
        <w:t>　</w:t>
      </w:r>
      <w:bookmarkStart w:id="0" w:name="_Hlk226713792"/>
      <w:r>
        <w:rPr>
          <w:rFonts w:hint="eastAsia"/>
          <w:sz w:val="21"/>
        </w:rPr>
        <w:t>五所川原市立学校給食センター</w:t>
      </w:r>
      <w:r>
        <w:rPr>
          <w:rFonts w:hint="eastAsia" w:ascii="ＭＳ 明朝" w:hAnsi="ＭＳ 明朝"/>
          <w:sz w:val="21"/>
        </w:rPr>
        <w:t>焼き物室床修繕</w:t>
      </w:r>
      <w:bookmarkEnd w:id="0"/>
    </w:p>
    <w:p>
      <w:pPr>
        <w:pStyle w:val="0"/>
        <w:spacing w:line="360" w:lineRule="auto"/>
        <w:rPr>
          <w:rFonts w:hint="default" w:ascii="ＭＳ 明朝" w:hAnsi="ＭＳ 明朝"/>
          <w:sz w:val="21"/>
        </w:rPr>
      </w:pPr>
      <w:r>
        <w:rPr>
          <w:rFonts w:hint="eastAsia" w:ascii="ＭＳ 明朝" w:hAnsi="ＭＳ 明朝"/>
          <w:sz w:val="21"/>
        </w:rPr>
        <w:t>２．</w:t>
      </w:r>
      <w:r>
        <w:rPr>
          <w:rFonts w:hint="eastAsia"/>
          <w:spacing w:val="50"/>
          <w:kern w:val="0"/>
          <w:sz w:val="21"/>
          <w:fitText w:val="1143" w:id="3"/>
        </w:rPr>
        <w:t>修繕場</w:t>
      </w:r>
      <w:r>
        <w:rPr>
          <w:rFonts w:hint="eastAsia"/>
          <w:spacing w:val="1"/>
          <w:kern w:val="0"/>
          <w:sz w:val="21"/>
          <w:fitText w:val="1143" w:id="3"/>
        </w:rPr>
        <w:t>所</w:t>
      </w:r>
      <w:bookmarkStart w:id="1" w:name="_GoBack"/>
      <w:bookmarkEnd w:id="1"/>
      <w:r>
        <w:rPr>
          <w:rFonts w:hint="eastAsia"/>
        </w:rPr>
        <w:t>　五所川原市立学校給食センター</w:t>
      </w:r>
      <w:r>
        <w:rPr>
          <w:rFonts w:hint="eastAsia" w:ascii="ＭＳ 明朝" w:hAnsi="ＭＳ 明朝"/>
          <w:sz w:val="21"/>
        </w:rPr>
        <w:t>　</w:t>
      </w:r>
    </w:p>
    <w:p>
      <w:pPr>
        <w:pStyle w:val="0"/>
        <w:rPr>
          <w:rFonts w:hint="default" w:ascii="ＭＳ 明朝" w:hAnsi="ＭＳ 明朝"/>
          <w:sz w:val="21"/>
        </w:rPr>
      </w:pPr>
      <w:r>
        <w:rPr>
          <w:rFonts w:hint="eastAsia"/>
          <w:kern w:val="0"/>
        </w:rPr>
        <mc:AlternateContent>
          <mc:Choice Requires="wps">
            <w:drawing>
              <wp:anchor distT="0" distB="0" distL="114300" distR="114300" simplePos="0" relativeHeight="2" behindDoc="0" locked="0" layoutInCell="1" hidden="0" allowOverlap="1">
                <wp:simplePos x="0" y="0"/>
                <wp:positionH relativeFrom="column">
                  <wp:posOffset>-680085</wp:posOffset>
                </wp:positionH>
                <wp:positionV relativeFrom="paragraph">
                  <wp:posOffset>-6350</wp:posOffset>
                </wp:positionV>
                <wp:extent cx="0" cy="252095"/>
                <wp:effectExtent l="635" t="0" r="29845" b="10160"/>
                <wp:wrapNone/>
                <wp:docPr id="1026" name="オブジェクト 0"/>
                <a:graphic xmlns:a="http://schemas.openxmlformats.org/drawingml/2006/main">
                  <a:graphicData uri="http://schemas.microsoft.com/office/word/2010/wordprocessingShape">
                    <wps:wsp>
                      <wps:cNvPr id="1026" name="オブジェクト 0"/>
                      <wps:cNvCnPr/>
                      <wps:spPr>
                        <a:xfrm>
                          <a:off x="0" y="0"/>
                          <a:ext cx="0" cy="252095"/>
                        </a:xfrm>
                        <a:prstGeom prst="straightConnector1">
                          <a:avLst/>
                        </a:prstGeom>
                        <a:noFill/>
                        <a:ln w="9525">
                          <a:solidFill>
                            <a:srgbClr val="F2F2F2"/>
                          </a:solidFill>
                          <a:miter/>
                        </a:ln>
                      </wps:spPr>
                      <wps:bodyPr/>
                    </wps:wsp>
                  </a:graphicData>
                </a:graphic>
              </wp:anchor>
            </w:drawing>
          </mc:Choice>
          <mc:Fallback>
            <w:pict>
              <v:shapetype id="_x0000_t32" coordsize="21600,21600" o:spt="32" o:oned="t" path="m,l21600,21600e" filled="f">
                <v:path arrowok="t" fillok="f" o:connecttype="none"/>
                <o:lock v:ext="edit" shapetype="t"/>
              </v:shapetype>
              <v:shape id="オブジェクト 0" style="z-index:2;height:19.850000000000001pt;mso-wrap-distance-left:9pt;width:0pt;mso-wrap-distance-top:0pt;mso-position-horizontal-relative:text;position:absolute;margin-top:-0.5pt;margin-left:-53.55pt;mso-position-vertical-relative:text;mso-wrap-distance-bottom:0pt;mso-wrap-distance-right:9pt;" o:spid="_x0000_s1026" o:allowincell="t" o:allowoverlap="t" filled="f" stroked="t" strokecolor="#f2f2f2" strokeweight="0.75pt" o:spt="32" type="#_x0000_t32">
                <v:fill/>
                <v:stroke filltype="solid"/>
                <v:imagedata o:title=""/>
                <w10:wrap type="none" anchorx="text" anchory="text"/>
              </v:shape>
            </w:pict>
          </mc:Fallback>
        </mc:AlternateContent>
      </w:r>
      <w:r>
        <w:rPr>
          <w:rFonts w:hint="eastAsia" w:ascii="ＭＳ 明朝" w:hAnsi="ＭＳ 明朝"/>
          <w:sz w:val="21"/>
        </w:rPr>
        <w:t>３．</w:t>
      </w:r>
      <w:r>
        <w:rPr>
          <w:rFonts w:hint="eastAsia"/>
          <w:spacing w:val="50"/>
          <w:kern w:val="0"/>
          <w:sz w:val="21"/>
          <w:fitText w:val="1143" w:id="4"/>
        </w:rPr>
        <w:t>履行期</w:t>
      </w:r>
      <w:r>
        <w:rPr>
          <w:rFonts w:hint="eastAsia"/>
          <w:spacing w:val="1"/>
          <w:kern w:val="0"/>
          <w:sz w:val="21"/>
          <w:fitText w:val="1143" w:id="4"/>
        </w:rPr>
        <w:t>限</w:t>
      </w:r>
      <w:r>
        <w:rPr>
          <w:rFonts w:hint="eastAsia" w:ascii="ＭＳ 明朝" w:hAnsi="ＭＳ 明朝"/>
          <w:sz w:val="21"/>
        </w:rPr>
        <w:t>　令和８年８月３１日まで</w:t>
      </w:r>
    </w:p>
    <w:p>
      <w:pPr>
        <w:pStyle w:val="0"/>
        <w:rPr>
          <w:rFonts w:hint="default" w:ascii="ＭＳ 明朝" w:hAnsi="ＭＳ 明朝"/>
          <w:sz w:val="21"/>
        </w:rPr>
      </w:pPr>
      <w:r>
        <w:rPr>
          <w:rFonts w:hint="eastAsia" w:ascii="ＭＳ 明朝" w:hAnsi="ＭＳ 明朝"/>
          <w:sz w:val="21"/>
        </w:rPr>
        <w:t>　　　　　　　　</w:t>
      </w:r>
      <w:r>
        <w:rPr>
          <w:rFonts w:hint="eastAsia" w:ascii="ＭＳ 明朝" w:hAnsi="ＭＳ 明朝"/>
          <w:sz w:val="21"/>
        </w:rPr>
        <w:t xml:space="preserve"> </w:t>
      </w:r>
      <w:r>
        <w:rPr>
          <w:rFonts w:hint="eastAsia" w:ascii="ＭＳ 明朝" w:hAnsi="ＭＳ 明朝"/>
          <w:sz w:val="21"/>
        </w:rPr>
        <w:t>※修繕は</w:t>
      </w:r>
      <w:r>
        <w:rPr>
          <w:rFonts w:hint="eastAsia"/>
        </w:rPr>
        <w:t>夏休み期間（令和８年７月２２日から令和８年８月１９日）に実施する。</w:t>
      </w:r>
    </w:p>
    <w:p>
      <w:pPr>
        <w:pStyle w:val="0"/>
        <w:ind w:left="1692" w:hanging="1692" w:hangingChars="842"/>
        <w:rPr>
          <w:rFonts w:hint="default"/>
        </w:rPr>
      </w:pPr>
      <w:r>
        <w:rPr>
          <w:rFonts w:hint="eastAsia"/>
          <w:sz w:val="21"/>
        </w:rPr>
        <w:t>４．</w:t>
      </w:r>
      <w:r>
        <w:rPr>
          <w:rFonts w:hint="eastAsia"/>
          <w:spacing w:val="50"/>
          <w:kern w:val="0"/>
          <w:sz w:val="21"/>
          <w:fitText w:val="1143" w:id="5"/>
        </w:rPr>
        <w:t>修繕内</w:t>
      </w:r>
      <w:r>
        <w:rPr>
          <w:rFonts w:hint="eastAsia"/>
          <w:spacing w:val="1"/>
          <w:kern w:val="0"/>
          <w:sz w:val="21"/>
          <w:fitText w:val="1143" w:id="5"/>
        </w:rPr>
        <w:t>容</w:t>
      </w:r>
      <w:bookmarkStart w:id="2" w:name="_Hlk226986938"/>
      <w:r>
        <w:rPr>
          <w:rFonts w:hint="eastAsia"/>
          <w:sz w:val="21"/>
        </w:rPr>
        <w:t>　</w:t>
      </w:r>
      <w:r>
        <w:rPr>
          <w:rFonts w:hint="eastAsia"/>
        </w:rPr>
        <w:t>焼き物室床１２２．５㎡（床立ち上げを除く）の防水改修。（塗床）</w:t>
      </w:r>
    </w:p>
    <w:p>
      <w:pPr>
        <w:pStyle w:val="0"/>
        <w:ind w:left="1719" w:leftChars="815"/>
        <w:rPr>
          <w:rFonts w:hint="default"/>
        </w:rPr>
      </w:pPr>
      <w:r>
        <w:rPr>
          <w:rFonts w:hint="eastAsia"/>
        </w:rPr>
        <w:t>既存防水を撤去の上、ＨＡＣＣＰ認定の水性硬質ウレタン樹脂系塗床（ｔ＝９）にて再施工、飛散防止の為の養生含む。</w:t>
      </w:r>
    </w:p>
    <w:p>
      <w:pPr>
        <w:pStyle w:val="25"/>
        <w:jc w:val="both"/>
        <w:rPr>
          <w:rFonts w:hint="default"/>
          <w:sz w:val="21"/>
        </w:rPr>
      </w:pPr>
      <w:bookmarkEnd w:id="2"/>
    </w:p>
    <w:p>
      <w:pPr>
        <w:pStyle w:val="25"/>
        <w:jc w:val="both"/>
        <w:rPr>
          <w:rFonts w:hint="default"/>
          <w:sz w:val="21"/>
        </w:rPr>
      </w:pPr>
      <w:r>
        <w:rPr>
          <w:rFonts w:hint="eastAsia"/>
          <w:sz w:val="21"/>
        </w:rPr>
        <w:t>５．一般事項</w:t>
      </w:r>
    </w:p>
    <w:p>
      <w:pPr>
        <w:pStyle w:val="0"/>
        <w:spacing w:before="148" w:beforeLines="50" w:beforeAutospacing="0"/>
        <w:ind w:left="814" w:leftChars="100" w:hanging="603" w:hangingChars="300"/>
        <w:rPr>
          <w:rFonts w:hint="default"/>
          <w:sz w:val="21"/>
        </w:rPr>
      </w:pPr>
      <w:r>
        <w:rPr>
          <w:rFonts w:hint="eastAsia"/>
          <w:sz w:val="21"/>
        </w:rPr>
        <w:t>（１）受注者は、本修繕の履行にあたり、関連する法令等を遵守し、本仕様書に定められた項目を確実に履行すること。</w:t>
      </w:r>
    </w:p>
    <w:p>
      <w:pPr>
        <w:pStyle w:val="0"/>
        <w:spacing w:before="148" w:beforeLines="50" w:beforeAutospacing="0"/>
        <w:ind w:left="814" w:leftChars="100" w:hanging="603" w:hangingChars="300"/>
        <w:rPr>
          <w:rFonts w:hint="default"/>
          <w:sz w:val="21"/>
        </w:rPr>
      </w:pPr>
      <w:r>
        <w:rPr>
          <w:rFonts w:hint="eastAsia"/>
          <w:sz w:val="21"/>
        </w:rPr>
        <w:t>（２）本仕様書及び契約書に明記されていない事項について、履行にあたり当然必要と思われる軽微な事項については受注者の責任で行うものとし、それ以外は発注者と受注者と協議のうえ定めるものとする。　</w:t>
      </w:r>
    </w:p>
    <w:p>
      <w:pPr>
        <w:pStyle w:val="0"/>
        <w:spacing w:before="148" w:beforeLines="50" w:beforeAutospacing="0"/>
        <w:ind w:left="814" w:leftChars="100" w:hanging="603" w:hangingChars="300"/>
        <w:rPr>
          <w:rFonts w:hint="default"/>
          <w:sz w:val="21"/>
        </w:rPr>
      </w:pPr>
      <w:r>
        <w:rPr>
          <w:rFonts w:hint="eastAsia"/>
          <w:sz w:val="21"/>
        </w:rPr>
        <w:t>（３）本修繕の履行にあたり、受注者の過失により建造物等に損傷を与えた場合は、速やかに発注者に報告し、受注者の責任において現状復旧すること。また、第三者に損害を与えたときは、発注者に起因する場合を除き、その復旧及び賠償の全責任を負うものとする。</w:t>
      </w:r>
    </w:p>
    <w:p>
      <w:pPr>
        <w:pStyle w:val="0"/>
        <w:spacing w:before="148" w:beforeLines="50" w:beforeAutospacing="0"/>
        <w:ind w:left="814" w:leftChars="100" w:hanging="603" w:hangingChars="300"/>
        <w:rPr>
          <w:rFonts w:hint="default"/>
          <w:sz w:val="21"/>
        </w:rPr>
      </w:pPr>
      <w:r>
        <w:rPr>
          <w:rFonts w:hint="eastAsia"/>
          <w:sz w:val="21"/>
        </w:rPr>
        <w:t>（４）履行期間中の安全管理には十分注意すること。</w:t>
      </w:r>
    </w:p>
    <w:p>
      <w:pPr>
        <w:pStyle w:val="0"/>
        <w:spacing w:before="148" w:beforeLines="50" w:beforeAutospacing="0"/>
        <w:ind w:firstLine="201" w:firstLineChars="100"/>
        <w:rPr>
          <w:rFonts w:hint="default"/>
          <w:sz w:val="21"/>
        </w:rPr>
      </w:pPr>
      <w:r>
        <w:rPr>
          <w:rFonts w:hint="eastAsia"/>
          <w:sz w:val="21"/>
        </w:rPr>
        <w:t>（５）発生材の処理にあたっては、関係法令に従い適正に処理すること。</w:t>
      </w:r>
    </w:p>
    <w:p>
      <w:pPr>
        <w:pStyle w:val="0"/>
        <w:spacing w:before="148" w:beforeLines="50" w:beforeAutospacing="0"/>
        <w:ind w:firstLine="201" w:firstLineChars="100"/>
        <w:rPr>
          <w:rFonts w:hint="default"/>
          <w:sz w:val="21"/>
        </w:rPr>
      </w:pPr>
      <w:r>
        <w:rPr>
          <w:rFonts w:hint="eastAsia"/>
          <w:sz w:val="21"/>
        </w:rPr>
        <w:t>（６）本修繕の履行にあたり、下記書類を提出すること。</w:t>
      </w:r>
    </w:p>
    <w:p>
      <w:pPr>
        <w:pStyle w:val="0"/>
        <w:spacing w:line="360" w:lineRule="auto"/>
        <w:ind w:left="844" w:leftChars="400"/>
        <w:rPr>
          <w:rFonts w:hint="default"/>
          <w:sz w:val="21"/>
        </w:rPr>
      </w:pPr>
      <w:r>
        <w:rPr>
          <w:rFonts w:hint="eastAsia"/>
          <w:sz w:val="21"/>
        </w:rPr>
        <w:t>・実施工程表</w:t>
      </w:r>
    </w:p>
    <w:p>
      <w:pPr>
        <w:pStyle w:val="0"/>
        <w:ind w:left="844" w:leftChars="400"/>
        <w:rPr>
          <w:rFonts w:hint="default"/>
          <w:sz w:val="21"/>
        </w:rPr>
      </w:pPr>
      <w:r>
        <w:rPr>
          <w:rFonts w:hint="eastAsia"/>
          <w:sz w:val="21"/>
        </w:rPr>
        <w:t>・修繕写真（現況・隠蔽部の施工の過程が分るもの・修繕後）</w:t>
      </w:r>
    </w:p>
    <w:p>
      <w:pPr>
        <w:pStyle w:val="0"/>
        <w:spacing w:line="360" w:lineRule="auto"/>
        <w:ind w:left="844" w:leftChars="400"/>
        <w:rPr>
          <w:rFonts w:hint="default"/>
          <w:sz w:val="21"/>
        </w:rPr>
      </w:pPr>
      <w:r>
        <w:rPr>
          <w:rFonts w:hint="eastAsia"/>
          <w:sz w:val="21"/>
        </w:rPr>
        <w:t>・</w:t>
      </w:r>
      <w:r>
        <w:rPr>
          <w:rFonts w:hint="eastAsia"/>
        </w:rPr>
        <w:t>水性硬質ウレタン樹脂系塗床等</w:t>
      </w:r>
      <w:r>
        <w:rPr>
          <w:rFonts w:hint="eastAsia"/>
          <w:sz w:val="21"/>
        </w:rPr>
        <w:t>の保証書がある場合は保証書を提出すること。</w:t>
      </w:r>
    </w:p>
    <w:p>
      <w:pPr>
        <w:pStyle w:val="0"/>
        <w:spacing w:line="360" w:lineRule="auto"/>
        <w:ind w:left="844" w:leftChars="400"/>
        <w:rPr>
          <w:rFonts w:hint="default"/>
          <w:sz w:val="21"/>
        </w:rPr>
      </w:pPr>
      <w:r>
        <w:rPr>
          <w:rFonts w:hint="eastAsia"/>
          <w:sz w:val="21"/>
        </w:rPr>
        <w:t>・その他必要と思われるもの</w:t>
      </w:r>
    </w:p>
    <w:p>
      <w:pPr>
        <w:pStyle w:val="0"/>
        <w:spacing w:after="148" w:afterLines="50" w:afterAutospacing="0"/>
        <w:rPr>
          <w:rFonts w:hint="default"/>
        </w:rPr>
      </w:pPr>
      <w:r>
        <w:rPr>
          <w:rFonts w:hint="eastAsia"/>
        </w:rPr>
        <w:t>６．特記事項</w:t>
      </w:r>
    </w:p>
    <w:p>
      <w:pPr>
        <w:pStyle w:val="0"/>
        <w:spacing w:line="360" w:lineRule="auto"/>
        <w:ind w:left="804" w:hanging="804" w:hangingChars="400"/>
        <w:jc w:val="left"/>
        <w:rPr>
          <w:rFonts w:hint="default"/>
          <w:sz w:val="21"/>
        </w:rPr>
      </w:pPr>
      <w:r>
        <w:rPr>
          <w:rFonts w:hint="eastAsia"/>
          <w:sz w:val="21"/>
        </w:rPr>
        <w:t>　（１）修繕着手に先立ち、五所川原市立学校給食センターと作業日程等について協議し、告知すること。</w:t>
      </w:r>
    </w:p>
    <w:p>
      <w:pPr>
        <w:pStyle w:val="0"/>
        <w:spacing w:line="360" w:lineRule="auto"/>
        <w:ind w:left="804" w:hanging="804" w:hangingChars="400"/>
        <w:jc w:val="left"/>
        <w:rPr>
          <w:rFonts w:hint="default"/>
          <w:sz w:val="21"/>
        </w:rPr>
      </w:pPr>
      <w:r>
        <w:rPr>
          <w:rFonts w:hint="eastAsia"/>
          <w:sz w:val="21"/>
        </w:rPr>
        <w:t>　（２）施工に先立ち、</w:t>
      </w:r>
      <w:r>
        <w:rPr>
          <w:rFonts w:hint="eastAsia"/>
        </w:rPr>
        <w:t>ＨＡＣＣＰ認定の水性硬質ウレタン樹脂系塗床</w:t>
      </w:r>
      <w:r>
        <w:rPr>
          <w:rFonts w:hint="eastAsia"/>
          <w:sz w:val="21"/>
        </w:rPr>
        <w:t>に係る部分の、目視及び打診による施工数量調査を行い、調査結果報告書を提出すること。</w:t>
      </w:r>
    </w:p>
    <w:p>
      <w:pPr>
        <w:pStyle w:val="0"/>
        <w:spacing w:line="360" w:lineRule="auto"/>
        <w:ind w:left="804" w:hanging="804" w:hangingChars="400"/>
        <w:jc w:val="left"/>
        <w:rPr>
          <w:rFonts w:hint="default"/>
          <w:sz w:val="21"/>
        </w:rPr>
      </w:pPr>
      <w:r>
        <w:rPr>
          <w:rFonts w:hint="eastAsia"/>
          <w:sz w:val="21"/>
        </w:rPr>
        <w:t>　（３）新設する</w:t>
      </w:r>
      <w:r>
        <w:rPr>
          <w:rFonts w:hint="eastAsia"/>
        </w:rPr>
        <w:t>ＨＡＣＣＰ認定の水性硬質ウレタン樹脂系塗床</w:t>
      </w:r>
      <w:r>
        <w:rPr>
          <w:rFonts w:hint="eastAsia"/>
          <w:sz w:val="21"/>
        </w:rPr>
        <w:t>に係るプライマー、接着剤等の材料は、</w:t>
      </w:r>
      <w:r>
        <w:rPr>
          <w:rFonts w:hint="eastAsia"/>
        </w:rPr>
        <w:t>ＨＡＣＣＰ認定の水性硬質ウレタン樹脂系塗床</w:t>
      </w:r>
      <w:r>
        <w:rPr>
          <w:rFonts w:hint="eastAsia"/>
          <w:sz w:val="21"/>
        </w:rPr>
        <w:t>の製造所の指定する製品とすること。</w:t>
      </w:r>
    </w:p>
    <w:p>
      <w:pPr>
        <w:pStyle w:val="0"/>
        <w:spacing w:line="360" w:lineRule="auto"/>
        <w:ind w:left="804" w:hanging="804" w:hangingChars="400"/>
        <w:jc w:val="left"/>
        <w:rPr>
          <w:rFonts w:hint="default"/>
          <w:sz w:val="21"/>
        </w:rPr>
      </w:pPr>
      <w:r>
        <w:rPr>
          <w:rFonts w:hint="eastAsia"/>
          <w:sz w:val="21"/>
        </w:rPr>
        <w:t>　（４）既設調理器具等の撤去、再設置については別発注します。</w:t>
      </w:r>
    </w:p>
    <w:sectPr>
      <w:pgSz w:w="11906" w:h="16838"/>
      <w:pgMar w:top="1077" w:right="1134" w:bottom="964" w:left="1247" w:header="851" w:footer="992" w:gutter="0"/>
      <w:cols w:space="720"/>
      <w:textDirection w:val="lrTb"/>
      <w:docGrid w:type="linesAndChars" w:linePitch="316" w:charSpace="-1858"/>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21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o:rules v:ext="edit">
        <o:r id="V:Rule2" type="connector" idref="#_x0000_s1026">
          <o:proxy start="" idref="#_x0000_s0" connectloc="-1"/>
          <o:proxy end="" idref="#_x0000_s0" connectloc="-1"/>
        </o:r>
      </o:rules>
    </o:shapelayou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2"/>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Arial" w:hAnsi="Arial" w:eastAsia="ＭＳ ゴシック"/>
      <w:sz w:val="18"/>
    </w:rPr>
  </w:style>
  <w:style w:type="character" w:styleId="16" w:customStyle="1">
    <w:name w:val="吹き出し (文字)"/>
    <w:next w:val="16"/>
    <w:link w:val="15"/>
    <w:uiPriority w:val="0"/>
    <w:rPr>
      <w:rFonts w:ascii="Arial" w:hAnsi="Arial" w:eastAsia="ＭＳ ゴシック"/>
      <w:kern w:val="2"/>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next w:val="18"/>
    <w:link w:val="17"/>
    <w:uiPriority w:val="0"/>
    <w:rPr>
      <w:kern w:val="2"/>
      <w:sz w:val="22"/>
    </w:rPr>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next w:val="20"/>
    <w:link w:val="19"/>
    <w:uiPriority w:val="0"/>
    <w:rPr>
      <w:kern w:val="2"/>
      <w:sz w:val="22"/>
    </w:rPr>
  </w:style>
  <w:style w:type="paragraph" w:styleId="21">
    <w:name w:val="Date"/>
    <w:basedOn w:val="0"/>
    <w:next w:val="0"/>
    <w:link w:val="22"/>
    <w:uiPriority w:val="0"/>
  </w:style>
  <w:style w:type="character" w:styleId="22" w:customStyle="1">
    <w:name w:val="日付 (文字)"/>
    <w:next w:val="22"/>
    <w:link w:val="21"/>
    <w:uiPriority w:val="0"/>
    <w:rPr>
      <w:kern w:val="2"/>
      <w:sz w:val="22"/>
    </w:rPr>
  </w:style>
  <w:style w:type="character" w:styleId="23">
    <w:name w:val="footnote reference"/>
    <w:basedOn w:val="10"/>
    <w:next w:val="23"/>
    <w:link w:val="0"/>
    <w:uiPriority w:val="0"/>
    <w:semiHidden/>
    <w:rPr>
      <w:vertAlign w:val="superscript"/>
    </w:rPr>
  </w:style>
  <w:style w:type="character" w:styleId="24">
    <w:name w:val="endnote reference"/>
    <w:basedOn w:val="10"/>
    <w:next w:val="24"/>
    <w:link w:val="0"/>
    <w:uiPriority w:val="0"/>
    <w:semiHidden/>
    <w:rPr>
      <w:vertAlign w:val="superscript"/>
    </w:rPr>
  </w:style>
  <w:style w:type="paragraph" w:styleId="25">
    <w:name w:val="Closing"/>
    <w:basedOn w:val="0"/>
    <w:next w:val="25"/>
    <w:link w:val="26"/>
    <w:uiPriority w:val="0"/>
    <w:qFormat/>
    <w:pPr>
      <w:jc w:val="right"/>
    </w:pPr>
    <w:rPr>
      <w:rFonts w:ascii="ＭＳ 明朝" w:hAnsi="ＭＳ 明朝"/>
    </w:rPr>
  </w:style>
  <w:style w:type="character" w:styleId="26" w:customStyle="1">
    <w:name w:val="結語 (文字)"/>
    <w:basedOn w:val="10"/>
    <w:next w:val="26"/>
    <w:link w:val="25"/>
    <w:uiPriority w:val="0"/>
    <w:rPr>
      <w:rFonts w:ascii="ＭＳ 明朝" w:hAnsi="ＭＳ 明朝" w:eastAsia="ＭＳ 明朝"/>
      <w:sz w:val="22"/>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TotalTime>
  <Pages>1</Pages>
  <Words>141</Words>
  <Characters>810</Characters>
  <Application>JUST Note</Application>
  <Lines>6</Lines>
  <Paragraphs>1</Paragraphs>
  <CharactersWithSpaces>950</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user</dc:creator>
  <cp:lastModifiedBy>user</cp:lastModifiedBy>
  <cp:lastPrinted>2025-09-30T01:06:00Z</cp:lastPrinted>
  <dcterms:created xsi:type="dcterms:W3CDTF">2026-04-24T07:22:00Z</dcterms:created>
  <dcterms:modified xsi:type="dcterms:W3CDTF">2026-04-27T03:53:37Z</dcterms:modified>
  <cp:revision>2</cp:revision>
</cp:coreProperties>
</file>