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9"/>
        <w:keepNext w:val="1"/>
        <w:keepLines w:val="1"/>
        <w:rPr>
          <w:rFonts w:hint="default"/>
        </w:rPr>
      </w:pPr>
      <w:bookmarkStart w:id="0" w:name="bookmark0"/>
      <w:bookmarkStart w:id="1" w:name="bookmark1"/>
      <w:bookmarkStart w:id="2" w:name="bookmark2"/>
      <w:r>
        <w:rPr>
          <w:rFonts w:hint="eastAsia"/>
        </w:rPr>
        <w:t>こどもの居場所整備事業備品の調達及び設置に関する</w:t>
      </w:r>
      <w:r>
        <w:rPr>
          <w:rFonts w:hint="default"/>
        </w:rPr>
        <w:t>仕様書</w:t>
      </w:r>
      <w:bookmarkEnd w:id="0"/>
      <w:bookmarkEnd w:id="1"/>
      <w:bookmarkEnd w:id="2"/>
    </w:p>
    <w:p>
      <w:pPr>
        <w:pStyle w:val="21"/>
        <w:numPr>
          <w:ilvl w:val="0"/>
          <w:numId w:val="1"/>
        </w:numPr>
        <w:tabs>
          <w:tab w:val="left" w:leader="none" w:pos="397"/>
        </w:tabs>
        <w:spacing w:line="343" w:lineRule="exact"/>
        <w:jc w:val="both"/>
        <w:rPr>
          <w:rFonts w:hint="default"/>
        </w:rPr>
      </w:pPr>
      <w:bookmarkStart w:id="3" w:name="bookmark3"/>
      <w:bookmarkEnd w:id="3"/>
      <w:r>
        <w:rPr>
          <w:rFonts w:hint="eastAsia" w:ascii="ＭＳ 明朝" w:hAnsi="ＭＳ 明朝" w:eastAsia="ＭＳ 明朝"/>
        </w:rPr>
        <w:t>内容</w:t>
      </w:r>
    </w:p>
    <w:p>
      <w:pPr>
        <w:pStyle w:val="22"/>
        <w:spacing w:after="320" w:afterLines="0" w:afterAutospacing="0" w:line="343" w:lineRule="exact"/>
        <w:ind w:firstLine="620"/>
        <w:jc w:val="both"/>
        <w:rPr>
          <w:rFonts w:hint="default"/>
        </w:rPr>
      </w:pPr>
      <w:r>
        <w:rPr>
          <w:rFonts w:hint="eastAsia"/>
        </w:rPr>
        <w:t>こどもの居場所整備事業</w:t>
      </w:r>
      <w:r>
        <w:rPr>
          <w:rFonts w:hint="eastAsia"/>
        </w:rPr>
        <w:t>(</w:t>
      </w:r>
      <w:r>
        <w:rPr>
          <w:rFonts w:hint="eastAsia"/>
        </w:rPr>
        <w:t>立佞武多の館内</w:t>
      </w:r>
      <w:r>
        <w:rPr>
          <w:rFonts w:hint="eastAsia"/>
        </w:rPr>
        <w:t>)</w:t>
      </w:r>
      <w:r>
        <w:rPr>
          <w:rFonts w:hint="default"/>
        </w:rPr>
        <w:t>の備品の</w:t>
      </w:r>
      <w:r>
        <w:rPr>
          <w:rFonts w:hint="eastAsia"/>
        </w:rPr>
        <w:t>調達及び設置</w:t>
      </w:r>
    </w:p>
    <w:p>
      <w:pPr>
        <w:pStyle w:val="22"/>
        <w:numPr>
          <w:ilvl w:val="0"/>
          <w:numId w:val="1"/>
        </w:numPr>
        <w:tabs>
          <w:tab w:val="left" w:leader="none" w:pos="406"/>
        </w:tabs>
        <w:spacing w:line="343" w:lineRule="exact"/>
        <w:rPr>
          <w:rFonts w:hint="default"/>
        </w:rPr>
      </w:pPr>
      <w:bookmarkStart w:id="4" w:name="bookmark4"/>
      <w:bookmarkEnd w:id="4"/>
      <w:r>
        <w:rPr>
          <w:rFonts w:hint="eastAsia"/>
        </w:rPr>
        <w:t>仕様</w:t>
      </w:r>
      <w:r>
        <w:rPr>
          <w:rFonts w:hint="default"/>
        </w:rPr>
        <w:t>及び数量</w:t>
      </w:r>
    </w:p>
    <w:p>
      <w:pPr>
        <w:pStyle w:val="22"/>
        <w:spacing w:after="320" w:afterLines="0" w:afterAutospacing="0" w:line="343" w:lineRule="exact"/>
        <w:ind w:firstLine="620"/>
        <w:jc w:val="both"/>
        <w:rPr>
          <w:rFonts w:hint="default"/>
        </w:rPr>
      </w:pPr>
      <w:r>
        <w:rPr>
          <w:rFonts w:hint="default"/>
        </w:rPr>
        <w:t>別紙</w:t>
      </w:r>
      <w:r>
        <w:rPr>
          <w:rFonts w:hint="eastAsia"/>
        </w:rPr>
        <w:t>1</w:t>
      </w:r>
      <w:r>
        <w:rPr>
          <w:rFonts w:hint="default"/>
        </w:rPr>
        <w:t>のとおり</w:t>
      </w:r>
    </w:p>
    <w:p>
      <w:pPr>
        <w:pStyle w:val="22"/>
        <w:numPr>
          <w:ilvl w:val="0"/>
          <w:numId w:val="1"/>
        </w:numPr>
        <w:tabs>
          <w:tab w:val="left" w:leader="none" w:pos="406"/>
        </w:tabs>
        <w:spacing w:line="343" w:lineRule="exact"/>
        <w:rPr>
          <w:rFonts w:hint="default"/>
        </w:rPr>
      </w:pPr>
      <w:bookmarkStart w:id="5" w:name="bookmark5"/>
      <w:bookmarkEnd w:id="5"/>
      <w:r>
        <w:rPr>
          <w:rFonts w:hint="default"/>
        </w:rPr>
        <w:t>納入場所</w:t>
      </w:r>
    </w:p>
    <w:p>
      <w:pPr>
        <w:pStyle w:val="22"/>
        <w:numPr>
          <w:numId w:val="0"/>
        </w:numPr>
        <w:tabs>
          <w:tab w:val="left" w:leader="none" w:pos="956"/>
        </w:tabs>
        <w:spacing w:line="343" w:lineRule="exact"/>
        <w:ind w:left="0" w:leftChars="0" w:firstLine="200" w:firstLineChars="100"/>
        <w:jc w:val="both"/>
        <w:rPr>
          <w:rFonts w:hint="default"/>
        </w:rPr>
      </w:pPr>
      <w:bookmarkStart w:id="6" w:name="bookmark6"/>
      <w:bookmarkEnd w:id="6"/>
      <w:r>
        <w:rPr>
          <w:rFonts w:hint="eastAsia"/>
        </w:rPr>
        <w:t>（１）立佞武多の館</w:t>
      </w:r>
      <w:r>
        <w:rPr>
          <w:rFonts w:hint="eastAsia"/>
        </w:rPr>
        <w:t>4</w:t>
      </w:r>
      <w:r>
        <w:rPr>
          <w:rFonts w:hint="eastAsia"/>
        </w:rPr>
        <w:t>階　遊びの広場および学びの広場</w:t>
      </w:r>
    </w:p>
    <w:p>
      <w:pPr>
        <w:pStyle w:val="22"/>
        <w:numPr>
          <w:numId w:val="0"/>
        </w:numPr>
        <w:tabs>
          <w:tab w:val="left" w:leader="none" w:pos="956"/>
        </w:tabs>
        <w:spacing w:line="343" w:lineRule="exact"/>
        <w:ind w:left="0" w:leftChars="0" w:right="-209" w:rightChars="-87" w:firstLine="800" w:firstLineChars="400"/>
        <w:jc w:val="both"/>
        <w:rPr>
          <w:rFonts w:hint="default"/>
        </w:rPr>
      </w:pPr>
      <w:r>
        <w:rPr>
          <w:rFonts w:hint="eastAsia"/>
        </w:rPr>
        <w:t>五所川原市</w:t>
      </w:r>
      <w:r>
        <w:rPr>
          <w:rFonts w:hint="default"/>
        </w:rPr>
        <w:t>大町</w:t>
      </w:r>
      <w:bookmarkStart w:id="7" w:name="bookmark7"/>
      <w:bookmarkEnd w:id="7"/>
      <w:r>
        <w:rPr>
          <w:rFonts w:hint="eastAsia"/>
        </w:rPr>
        <w:t>506-10</w:t>
      </w:r>
    </w:p>
    <w:p>
      <w:pPr>
        <w:pStyle w:val="22"/>
        <w:numPr>
          <w:numId w:val="0"/>
        </w:numPr>
        <w:tabs>
          <w:tab w:val="left" w:leader="none" w:pos="956"/>
        </w:tabs>
        <w:spacing w:line="343" w:lineRule="exact"/>
        <w:ind w:left="0" w:leftChars="0" w:firstLine="800" w:firstLineChars="400"/>
        <w:jc w:val="both"/>
        <w:rPr>
          <w:rFonts w:hint="default"/>
        </w:rPr>
      </w:pPr>
    </w:p>
    <w:p>
      <w:pPr>
        <w:pStyle w:val="22"/>
        <w:numPr>
          <w:numId w:val="0"/>
        </w:numPr>
        <w:tabs>
          <w:tab w:val="left" w:leader="none" w:pos="956"/>
        </w:tabs>
        <w:spacing w:line="343" w:lineRule="exact"/>
        <w:ind w:left="0" w:leftChars="0" w:firstLine="200" w:firstLineChars="100"/>
        <w:jc w:val="both"/>
        <w:rPr>
          <w:rFonts w:hint="default"/>
        </w:rPr>
      </w:pPr>
      <w:r>
        <w:rPr>
          <w:rFonts w:hint="eastAsia" w:ascii="ＭＳ 明朝" w:hAnsi="ＭＳ 明朝" w:eastAsia="ＭＳ 明朝"/>
        </w:rPr>
        <w:t>（２）</w:t>
      </w:r>
      <w:r>
        <w:rPr>
          <w:rFonts w:hint="default" w:ascii="ＭＳ 明朝" w:hAnsi="ＭＳ 明朝" w:eastAsia="ＭＳ 明朝"/>
        </w:rPr>
        <w:t>配置</w:t>
      </w:r>
    </w:p>
    <w:p>
      <w:pPr>
        <w:pStyle w:val="22"/>
        <w:spacing w:line="343" w:lineRule="exact"/>
        <w:ind w:left="0" w:leftChars="0" w:firstLine="800" w:firstLineChars="400"/>
        <w:jc w:val="both"/>
        <w:rPr>
          <w:rFonts w:hint="default"/>
        </w:rPr>
      </w:pPr>
      <w:r>
        <w:rPr>
          <w:rFonts w:hint="default"/>
        </w:rPr>
        <w:t>別紙</w:t>
      </w:r>
      <w:r>
        <w:rPr>
          <w:rFonts w:hint="eastAsia"/>
        </w:rPr>
        <w:t>2</w:t>
      </w:r>
      <w:r>
        <w:rPr>
          <w:rFonts w:hint="default"/>
        </w:rPr>
        <w:t>のとおり</w:t>
      </w:r>
    </w:p>
    <w:p>
      <w:pPr>
        <w:pStyle w:val="22"/>
        <w:spacing w:line="343" w:lineRule="exact"/>
        <w:ind w:left="1040"/>
        <w:jc w:val="both"/>
        <w:rPr>
          <w:rFonts w:hint="default"/>
        </w:rPr>
      </w:pPr>
    </w:p>
    <w:p>
      <w:pPr>
        <w:pStyle w:val="22"/>
        <w:numPr>
          <w:ilvl w:val="0"/>
          <w:numId w:val="1"/>
        </w:numPr>
        <w:spacing w:line="348" w:lineRule="exact"/>
        <w:jc w:val="both"/>
        <w:rPr>
          <w:rFonts w:hint="default"/>
        </w:rPr>
      </w:pPr>
      <w:r>
        <w:rPr>
          <w:rFonts w:hint="default"/>
        </w:rPr>
        <w:t>納入期限</w:t>
      </w:r>
      <w:bookmarkStart w:id="8" w:name="bookmark8"/>
      <w:bookmarkEnd w:id="8"/>
    </w:p>
    <w:p>
      <w:pPr>
        <w:pStyle w:val="22"/>
        <w:spacing w:line="348" w:lineRule="exact"/>
        <w:ind w:firstLine="600" w:firstLineChars="300"/>
        <w:jc w:val="both"/>
        <w:rPr>
          <w:rFonts w:hint="default"/>
        </w:rPr>
      </w:pPr>
      <w:r>
        <w:rPr>
          <w:rFonts w:hint="default"/>
        </w:rPr>
        <w:t>令和</w:t>
      </w:r>
      <w:r>
        <w:rPr>
          <w:rFonts w:hint="eastAsia" w:ascii="ＭＳ Ｐ明朝" w:hAnsi="ＭＳ Ｐ明朝" w:eastAsia="ＭＳ Ｐ明朝"/>
        </w:rPr>
        <w:t>8</w:t>
      </w:r>
      <w:r>
        <w:rPr>
          <w:rFonts w:hint="default"/>
        </w:rPr>
        <w:t>年</w:t>
      </w:r>
      <w:r>
        <w:rPr>
          <w:rFonts w:hint="eastAsia" w:ascii="ＭＳ Ｐ明朝" w:hAnsi="ＭＳ Ｐ明朝" w:eastAsia="ＭＳ Ｐ明朝"/>
        </w:rPr>
        <w:t>6</w:t>
      </w:r>
      <w:r>
        <w:rPr>
          <w:rFonts w:hint="default"/>
        </w:rPr>
        <w:t>月</w:t>
      </w:r>
      <w:r>
        <w:rPr>
          <w:rFonts w:hint="eastAsia"/>
        </w:rPr>
        <w:t>30</w:t>
      </w:r>
      <w:r>
        <w:rPr>
          <w:rFonts w:hint="default"/>
        </w:rPr>
        <w:t>日</w:t>
      </w:r>
    </w:p>
    <w:p>
      <w:pPr>
        <w:pStyle w:val="22"/>
        <w:tabs>
          <w:tab w:val="left" w:leader="none" w:pos="956"/>
        </w:tabs>
        <w:spacing w:line="341" w:lineRule="exact"/>
        <w:ind w:leftChars="0" w:firstLineChars="0"/>
        <w:jc w:val="both"/>
        <w:rPr>
          <w:rFonts w:hint="default"/>
        </w:rPr>
      </w:pPr>
      <w:bookmarkStart w:id="9" w:name="bookmark12"/>
      <w:bookmarkEnd w:id="9"/>
      <w:bookmarkStart w:id="10" w:name="bookmark13"/>
      <w:bookmarkEnd w:id="10"/>
      <w:bookmarkStart w:id="11" w:name="bookmark14"/>
      <w:bookmarkEnd w:id="11"/>
      <w:bookmarkStart w:id="12" w:name="bookmark9"/>
      <w:bookmarkEnd w:id="12"/>
    </w:p>
    <w:p>
      <w:pPr>
        <w:pStyle w:val="22"/>
        <w:numPr>
          <w:numId w:val="0"/>
        </w:numPr>
        <w:spacing w:line="345" w:lineRule="exact"/>
        <w:ind w:leftChars="0" w:firstLineChars="0"/>
        <w:jc w:val="both"/>
        <w:rPr>
          <w:rFonts w:hint="default"/>
        </w:rPr>
      </w:pPr>
      <w:r>
        <w:rPr>
          <w:rFonts w:hint="eastAsia"/>
        </w:rPr>
        <w:t>５．</w:t>
      </w:r>
      <w:r>
        <w:rPr>
          <w:rFonts w:hint="default"/>
        </w:rPr>
        <w:t>製品の設置</w:t>
      </w:r>
    </w:p>
    <w:p>
      <w:pPr>
        <w:pStyle w:val="22"/>
        <w:tabs>
          <w:tab w:val="left" w:leader="none" w:pos="956"/>
        </w:tabs>
        <w:spacing w:line="345" w:lineRule="exact"/>
        <w:ind w:left="640" w:leftChars="100" w:hanging="400" w:hangingChars="200"/>
        <w:jc w:val="both"/>
        <w:rPr>
          <w:rFonts w:hint="default"/>
        </w:rPr>
      </w:pPr>
      <w:bookmarkStart w:id="13" w:name="bookmark18"/>
      <w:bookmarkEnd w:id="13"/>
      <w:r>
        <w:rPr>
          <w:rFonts w:hint="eastAsia"/>
        </w:rPr>
        <w:t>（１）搬入</w:t>
      </w:r>
      <w:r>
        <w:rPr>
          <w:rFonts w:hint="default"/>
        </w:rPr>
        <w:t>作業については、担当課と協議のうえ決定するものとする。</w:t>
      </w:r>
    </w:p>
    <w:p>
      <w:pPr>
        <w:pStyle w:val="22"/>
        <w:tabs>
          <w:tab w:val="left" w:leader="none" w:pos="956"/>
        </w:tabs>
        <w:spacing w:line="345" w:lineRule="exact"/>
        <w:ind w:left="0" w:leftChars="0" w:firstLine="200" w:firstLineChars="100"/>
        <w:jc w:val="both"/>
        <w:rPr>
          <w:rFonts w:hint="default"/>
        </w:rPr>
      </w:pPr>
      <w:bookmarkStart w:id="14" w:name="bookmark19"/>
      <w:bookmarkEnd w:id="14"/>
      <w:r>
        <w:rPr>
          <w:rFonts w:hint="eastAsia"/>
        </w:rPr>
        <w:t>（２）</w:t>
      </w:r>
      <w:r>
        <w:rPr>
          <w:rFonts w:hint="default"/>
        </w:rPr>
        <w:t>本製品の設置にあたっては、「別紙</w:t>
      </w:r>
      <w:r>
        <w:rPr>
          <w:rFonts w:hint="eastAsia"/>
        </w:rPr>
        <w:t>2</w:t>
      </w:r>
      <w:r>
        <w:rPr>
          <w:rFonts w:hint="default"/>
        </w:rPr>
        <w:t>配置図」に従い設置すること。</w:t>
      </w:r>
      <w:bookmarkStart w:id="15" w:name="bookmark20"/>
      <w:bookmarkEnd w:id="15"/>
    </w:p>
    <w:p>
      <w:pPr>
        <w:pStyle w:val="22"/>
        <w:tabs>
          <w:tab w:val="left" w:leader="none" w:pos="956"/>
        </w:tabs>
        <w:spacing w:line="345" w:lineRule="exact"/>
        <w:ind w:left="640" w:leftChars="100" w:hanging="400" w:hangingChars="200"/>
        <w:jc w:val="both"/>
        <w:rPr>
          <w:rFonts w:hint="default"/>
        </w:rPr>
      </w:pPr>
      <w:r>
        <w:rPr>
          <w:rFonts w:hint="eastAsia"/>
        </w:rPr>
        <w:t>（３）</w:t>
      </w:r>
      <w:r>
        <w:rPr>
          <w:rFonts w:hint="default"/>
        </w:rPr>
        <w:t>本製品を設置するために必要となる取付具</w:t>
      </w:r>
      <w:r>
        <w:rPr>
          <w:rFonts w:hint="default"/>
        </w:rPr>
        <w:t>(</w:t>
      </w:r>
      <w:r>
        <w:rPr>
          <w:rFonts w:hint="default"/>
        </w:rPr>
        <w:t>アンカー、ボルト、固定金具等を含む</w:t>
      </w:r>
      <w:r>
        <w:rPr>
          <w:rFonts w:hint="default"/>
        </w:rPr>
        <w:t>)</w:t>
      </w:r>
      <w:r>
        <w:rPr>
          <w:rFonts w:hint="default"/>
        </w:rPr>
        <w:t>転倒</w:t>
      </w:r>
      <w:r>
        <w:rPr>
          <w:rFonts w:hint="eastAsia"/>
        </w:rPr>
        <w:t>防止措置</w:t>
      </w:r>
      <w:r>
        <w:rPr>
          <w:rFonts w:hint="default"/>
        </w:rPr>
        <w:t>は、納入製品として記載していない場合でも</w:t>
      </w:r>
      <w:r>
        <w:rPr>
          <w:rFonts w:hint="eastAsia"/>
        </w:rPr>
        <w:t>、</w:t>
      </w:r>
      <w:r>
        <w:rPr>
          <w:rFonts w:hint="default"/>
        </w:rPr>
        <w:t>それらの代価は本製品に含まれ</w:t>
      </w:r>
      <w:r>
        <w:rPr>
          <w:rFonts w:hint="eastAsia"/>
        </w:rPr>
        <w:t>るもの</w:t>
      </w:r>
      <w:r>
        <w:rPr>
          <w:rFonts w:hint="default"/>
        </w:rPr>
        <w:t>とし、必要な施工をすること。</w:t>
      </w:r>
    </w:p>
    <w:p>
      <w:pPr>
        <w:pStyle w:val="22"/>
        <w:tabs>
          <w:tab w:val="left" w:leader="none" w:pos="956"/>
        </w:tabs>
        <w:spacing w:after="340" w:afterLines="0" w:afterAutospacing="0" w:line="345" w:lineRule="exact"/>
        <w:ind w:left="640" w:leftChars="100" w:hanging="400" w:hangingChars="200"/>
        <w:rPr>
          <w:rFonts w:hint="default"/>
        </w:rPr>
      </w:pPr>
      <w:bookmarkStart w:id="16" w:name="bookmark21"/>
      <w:bookmarkEnd w:id="16"/>
      <w:r>
        <w:rPr>
          <w:rFonts w:hint="eastAsia"/>
        </w:rPr>
        <w:t>（４）</w:t>
      </w:r>
      <w:r>
        <w:rPr>
          <w:rFonts w:hint="default"/>
        </w:rPr>
        <w:t>搬入路の養生については、すべて受注者が行うこと。その他、必要な養生は協議の</w:t>
      </w:r>
      <w:r>
        <w:rPr>
          <w:rFonts w:hint="eastAsia"/>
        </w:rPr>
        <w:t>うえ</w:t>
      </w:r>
      <w:r>
        <w:rPr>
          <w:rFonts w:hint="default"/>
        </w:rPr>
        <w:t>実施することとする。</w:t>
      </w:r>
    </w:p>
    <w:p>
      <w:pPr>
        <w:pStyle w:val="22"/>
        <w:spacing w:line="342" w:lineRule="exact"/>
        <w:rPr>
          <w:rFonts w:hint="default"/>
        </w:rPr>
      </w:pPr>
      <w:r>
        <w:rPr>
          <w:rFonts w:hint="eastAsia" w:ascii="ＭＳ Ｐ明朝" w:hAnsi="ＭＳ Ｐ明朝" w:eastAsia="ＭＳ Ｐ明朝"/>
        </w:rPr>
        <w:t>６．</w:t>
      </w:r>
      <w:r>
        <w:rPr>
          <w:rFonts w:hint="eastAsia"/>
        </w:rPr>
        <w:t>その他</w:t>
      </w:r>
    </w:p>
    <w:p>
      <w:pPr>
        <w:pStyle w:val="22"/>
        <w:numPr>
          <w:numId w:val="0"/>
        </w:numPr>
        <w:tabs>
          <w:tab w:val="left" w:leader="none" w:pos="956"/>
        </w:tabs>
        <w:spacing w:line="342" w:lineRule="exact"/>
        <w:ind w:left="0" w:leftChars="0" w:firstLine="200" w:firstLineChars="100"/>
        <w:jc w:val="both"/>
        <w:rPr>
          <w:rFonts w:hint="default"/>
        </w:rPr>
      </w:pPr>
      <w:bookmarkStart w:id="17" w:name="bookmark22"/>
      <w:bookmarkEnd w:id="17"/>
      <w:r>
        <w:rPr>
          <w:rFonts w:hint="eastAsia"/>
        </w:rPr>
        <w:t>（１）</w:t>
      </w:r>
      <w:r>
        <w:rPr>
          <w:rFonts w:hint="default"/>
        </w:rPr>
        <w:t>備品納入内訳書について</w:t>
      </w:r>
    </w:p>
    <w:p>
      <w:pPr>
        <w:pStyle w:val="22"/>
        <w:spacing w:line="342" w:lineRule="exact"/>
        <w:ind w:left="0" w:leftChars="0" w:firstLine="600" w:firstLineChars="300"/>
        <w:jc w:val="both"/>
        <w:rPr>
          <w:rFonts w:hint="default"/>
        </w:rPr>
      </w:pPr>
      <w:r>
        <w:rPr>
          <w:rFonts w:hint="default"/>
        </w:rPr>
        <w:t>落札後、速やかにエクセルデータを提出すること。書式は任意とする。</w:t>
      </w:r>
    </w:p>
    <w:p>
      <w:pPr>
        <w:pStyle w:val="22"/>
        <w:numPr>
          <w:numId w:val="0"/>
        </w:numPr>
        <w:tabs>
          <w:tab w:val="left" w:leader="none" w:pos="956"/>
        </w:tabs>
        <w:spacing w:line="342" w:lineRule="exact"/>
        <w:ind w:left="0" w:leftChars="0" w:firstLine="200" w:firstLineChars="100"/>
        <w:jc w:val="both"/>
        <w:rPr>
          <w:rFonts w:hint="default"/>
        </w:rPr>
      </w:pPr>
      <w:bookmarkStart w:id="18" w:name="bookmark23"/>
      <w:bookmarkEnd w:id="18"/>
      <w:r>
        <w:rPr>
          <w:rFonts w:hint="eastAsia"/>
        </w:rPr>
        <w:t>（２）</w:t>
      </w:r>
      <w:r>
        <w:rPr>
          <w:rFonts w:hint="default"/>
        </w:rPr>
        <w:t>製品の搬入および組立て等について</w:t>
      </w:r>
    </w:p>
    <w:p>
      <w:pPr>
        <w:pStyle w:val="22"/>
        <w:spacing w:line="342" w:lineRule="exact"/>
        <w:ind w:left="0" w:leftChars="0" w:firstLine="500" w:firstLineChars="250"/>
        <w:jc w:val="both"/>
        <w:rPr>
          <w:rFonts w:hint="default"/>
        </w:rPr>
      </w:pPr>
      <w:r>
        <w:rPr>
          <w:rFonts w:hint="default"/>
        </w:rPr>
        <w:t>ア</w:t>
      </w:r>
      <w:r>
        <w:rPr>
          <w:rFonts w:hint="eastAsia"/>
        </w:rPr>
        <w:t>　</w:t>
      </w:r>
      <w:r>
        <w:rPr>
          <w:rFonts w:hint="default"/>
        </w:rPr>
        <w:t>受注者は、安全性を重視して納入物品一式の搬入、組立てを行うこと。</w:t>
      </w:r>
    </w:p>
    <w:p>
      <w:pPr>
        <w:pStyle w:val="22"/>
        <w:spacing w:line="342" w:lineRule="exact"/>
        <w:ind w:left="680" w:leftChars="200" w:hanging="200" w:hangingChars="100"/>
        <w:jc w:val="both"/>
        <w:rPr>
          <w:rFonts w:hint="default"/>
        </w:rPr>
      </w:pPr>
      <w:r>
        <w:rPr>
          <w:rFonts w:hint="default"/>
        </w:rPr>
        <w:t>イ</w:t>
      </w:r>
      <w:r>
        <w:rPr>
          <w:rFonts w:hint="eastAsia"/>
        </w:rPr>
        <w:t>　</w:t>
      </w:r>
      <w:r>
        <w:rPr>
          <w:rFonts w:hint="default"/>
        </w:rPr>
        <w:t>床、壁などを加工する必要がある場合は、事前に担当課と加工場所、加工方法等に</w:t>
      </w:r>
      <w:r>
        <w:rPr>
          <w:rFonts w:hint="default"/>
        </w:rPr>
        <w:t xml:space="preserve"> </w:t>
      </w:r>
      <w:r>
        <w:rPr>
          <w:rFonts w:hint="default"/>
        </w:rPr>
        <w:t>ついて協議したうえで行うこと。また、安全性などについて十分な説明を行うこと。</w:t>
      </w:r>
    </w:p>
    <w:p>
      <w:pPr>
        <w:pStyle w:val="22"/>
        <w:spacing w:line="342" w:lineRule="exact"/>
        <w:ind w:left="680" w:leftChars="200" w:hanging="200" w:hangingChars="100"/>
        <w:jc w:val="both"/>
        <w:rPr>
          <w:rFonts w:hint="default"/>
        </w:rPr>
      </w:pPr>
      <w:r>
        <w:rPr>
          <w:rFonts w:hint="default"/>
        </w:rPr>
        <w:t>ウ</w:t>
      </w:r>
      <w:r>
        <w:rPr>
          <w:rFonts w:hint="eastAsia"/>
        </w:rPr>
        <w:t>　</w:t>
      </w:r>
      <w:r>
        <w:rPr>
          <w:rFonts w:hint="default"/>
        </w:rPr>
        <w:t>納入物品の搬入および組立てにあたっては、契約後速やかに工程表等を担当課に提出し、協議のうえ承認を得ること。</w:t>
      </w:r>
    </w:p>
    <w:p>
      <w:pPr>
        <w:pStyle w:val="22"/>
        <w:spacing w:line="342" w:lineRule="exact"/>
        <w:ind w:left="680" w:leftChars="200" w:hanging="200" w:hangingChars="100"/>
        <w:jc w:val="both"/>
        <w:rPr>
          <w:rFonts w:hint="default"/>
        </w:rPr>
      </w:pPr>
      <w:r>
        <w:rPr>
          <w:rFonts w:hint="default"/>
        </w:rPr>
        <w:t>工</w:t>
      </w:r>
      <w:r>
        <w:rPr>
          <w:rFonts w:hint="eastAsia"/>
        </w:rPr>
        <w:t>　</w:t>
      </w:r>
      <w:r>
        <w:rPr>
          <w:rFonts w:hint="default"/>
        </w:rPr>
        <w:t>納入物品の設置により発生する梱包材等の不要物の処理にあたっては、受注者の責任において関係法令に従い適正に処分すること。</w:t>
      </w:r>
    </w:p>
    <w:p>
      <w:pPr>
        <w:pStyle w:val="22"/>
        <w:spacing w:line="342" w:lineRule="exact"/>
        <w:ind w:left="680" w:leftChars="200" w:hanging="200" w:hangingChars="100"/>
        <w:jc w:val="both"/>
        <w:rPr>
          <w:rFonts w:hint="default"/>
        </w:rPr>
      </w:pPr>
      <w:r>
        <w:rPr>
          <w:rFonts w:hint="eastAsia"/>
        </w:rPr>
        <w:t>オ　</w:t>
      </w:r>
      <w:r>
        <w:rPr>
          <w:rFonts w:hint="default"/>
        </w:rPr>
        <w:t>納入物品の搬入および組立てにあたって、建物等を破損した場合は、受注者の責任において完全に修復すること。</w:t>
      </w:r>
    </w:p>
    <w:p>
      <w:pPr>
        <w:pStyle w:val="22"/>
        <w:spacing w:line="342" w:lineRule="exact"/>
        <w:ind w:left="0" w:leftChars="0" w:firstLine="500" w:firstLineChars="250"/>
        <w:jc w:val="both"/>
        <w:rPr>
          <w:rFonts w:hint="default"/>
        </w:rPr>
      </w:pPr>
      <w:r>
        <w:rPr>
          <w:rFonts w:hint="default"/>
        </w:rPr>
        <w:t>カ</w:t>
      </w:r>
      <w:r>
        <w:rPr>
          <w:rFonts w:hint="eastAsia"/>
        </w:rPr>
        <w:t>　</w:t>
      </w:r>
      <w:r>
        <w:rPr>
          <w:rFonts w:hint="default"/>
        </w:rPr>
        <w:t>耐震措置として、担当課と協議のうえ、必要に応じて床止め固定などを講じること。</w:t>
      </w:r>
    </w:p>
    <w:p>
      <w:pPr>
        <w:pStyle w:val="22"/>
        <w:numPr>
          <w:numId w:val="0"/>
        </w:numPr>
        <w:tabs>
          <w:tab w:val="left" w:leader="none" w:pos="956"/>
        </w:tabs>
        <w:spacing w:line="342" w:lineRule="exact"/>
        <w:ind w:left="-178" w:leftChars="-74" w:firstLine="176" w:firstLineChars="88"/>
        <w:jc w:val="both"/>
        <w:rPr>
          <w:rFonts w:hint="default"/>
        </w:rPr>
      </w:pPr>
      <w:bookmarkStart w:id="19" w:name="bookmark24"/>
      <w:bookmarkEnd w:id="19"/>
      <w:r>
        <w:rPr>
          <w:rFonts w:hint="eastAsia"/>
        </w:rPr>
        <w:t>（３）保証</w:t>
      </w:r>
      <w:r>
        <w:rPr>
          <w:rFonts w:hint="default"/>
        </w:rPr>
        <w:t>について</w:t>
      </w:r>
    </w:p>
    <w:p>
      <w:pPr>
        <w:pStyle w:val="22"/>
        <w:spacing w:line="342" w:lineRule="exact"/>
        <w:ind w:left="240" w:leftChars="100" w:firstLine="200" w:firstLineChars="100"/>
        <w:jc w:val="both"/>
        <w:rPr>
          <w:rFonts w:hint="default"/>
        </w:rPr>
      </w:pPr>
      <w:r>
        <w:rPr>
          <w:rFonts w:hint="default"/>
        </w:rPr>
        <w:t>検収完了日を起点として、通常の使用により保証期間以内に異常が発生した場合は、速やかに無償で修理、または部品の交換を行うこと。</w:t>
      </w:r>
    </w:p>
    <w:p>
      <w:pPr>
        <w:pStyle w:val="22"/>
        <w:numPr>
          <w:numId w:val="0"/>
        </w:numPr>
        <w:tabs>
          <w:tab w:val="left" w:leader="none" w:pos="956"/>
        </w:tabs>
        <w:spacing w:line="342" w:lineRule="exact"/>
        <w:ind w:leftChars="0" w:firstLineChars="0"/>
        <w:jc w:val="both"/>
        <w:rPr>
          <w:rFonts w:hint="default"/>
        </w:rPr>
      </w:pPr>
      <w:bookmarkStart w:id="20" w:name="bookmark25"/>
      <w:bookmarkEnd w:id="20"/>
      <w:r>
        <w:rPr>
          <w:rFonts w:hint="eastAsia"/>
        </w:rPr>
        <w:t>（４）</w:t>
      </w:r>
      <w:r>
        <w:rPr>
          <w:rFonts w:hint="default"/>
        </w:rPr>
        <w:t>受注者の責務</w:t>
      </w:r>
    </w:p>
    <w:p>
      <w:pPr>
        <w:pStyle w:val="22"/>
        <w:spacing w:line="342" w:lineRule="exact"/>
        <w:ind w:left="680" w:leftChars="200" w:hanging="200" w:hangingChars="100"/>
        <w:rPr>
          <w:rFonts w:hint="default"/>
        </w:rPr>
      </w:pPr>
      <w:r>
        <w:rPr>
          <w:rFonts w:hint="default"/>
        </w:rPr>
        <w:t>ア</w:t>
      </w:r>
      <w:r>
        <w:rPr>
          <w:rFonts w:hint="eastAsia"/>
        </w:rPr>
        <w:t>　</w:t>
      </w:r>
      <w:r>
        <w:rPr>
          <w:rFonts w:hint="default"/>
        </w:rPr>
        <w:t>自社において納品および設置管理を行うものとする。ただし、製品の施工はメーカ一側が行うものとし、メーカーの責任者が必ず立ち会うこと。</w:t>
      </w:r>
    </w:p>
    <w:p>
      <w:pPr>
        <w:pStyle w:val="22"/>
        <w:spacing w:line="342" w:lineRule="exact"/>
        <w:ind w:left="680" w:leftChars="200" w:hanging="200" w:hangingChars="100"/>
        <w:rPr>
          <w:rFonts w:hint="default"/>
        </w:rPr>
      </w:pPr>
      <w:r>
        <w:rPr>
          <w:rFonts w:hint="default"/>
        </w:rPr>
        <w:t>イ</w:t>
      </w:r>
      <w:r>
        <w:rPr>
          <w:rFonts w:hint="eastAsia"/>
        </w:rPr>
        <w:t>　</w:t>
      </w:r>
      <w:r>
        <w:rPr>
          <w:rFonts w:hint="default"/>
        </w:rPr>
        <w:t>本備品購入と並行し、各種工事や移転関係業務が実施されるため搬入計画作成から搬入・設置まで全ての段階において業者間での調整を必要に応じて実施し、円滑な作業進捗に協力すること。</w:t>
      </w:r>
    </w:p>
    <w:p>
      <w:pPr>
        <w:pStyle w:val="22"/>
        <w:spacing w:line="342" w:lineRule="exact"/>
        <w:ind w:left="680" w:leftChars="200" w:hanging="200" w:hangingChars="100"/>
        <w:rPr>
          <w:rFonts w:hint="default"/>
        </w:rPr>
      </w:pPr>
      <w:r>
        <w:rPr>
          <w:rFonts w:hint="default"/>
        </w:rPr>
        <w:t>ウ</w:t>
      </w:r>
      <w:r>
        <w:rPr>
          <w:rFonts w:hint="eastAsia"/>
        </w:rPr>
        <w:t>　</w:t>
      </w:r>
      <w:r>
        <w:rPr>
          <w:rFonts w:hint="default"/>
        </w:rPr>
        <w:t>納入据付完了後、財政課の検収を受けること。なお検収の日程等については担当課と協議すること。</w:t>
      </w:r>
    </w:p>
    <w:p>
      <w:pPr>
        <w:pStyle w:val="22"/>
        <w:spacing w:line="342" w:lineRule="exact"/>
        <w:ind w:left="680" w:leftChars="200" w:hanging="200" w:hangingChars="100"/>
        <w:rPr>
          <w:rFonts w:hint="default"/>
        </w:rPr>
      </w:pPr>
      <w:r>
        <w:rPr>
          <w:rFonts w:hint="eastAsia"/>
        </w:rPr>
        <w:t>エ　</w:t>
      </w:r>
      <w:r>
        <w:rPr>
          <w:rFonts w:hint="default"/>
        </w:rPr>
        <w:t>製品の品質、性能を証明する書面、取扱説明書、据付作業に係わる図面等の関係書類はファイル等に綴り、納品完了時に引き渡すこと。</w:t>
      </w:r>
      <w:bookmarkStart w:id="21" w:name="bookmark26"/>
      <w:bookmarkEnd w:id="21"/>
    </w:p>
    <w:p>
      <w:pPr>
        <w:pStyle w:val="22"/>
        <w:spacing w:line="342" w:lineRule="exact"/>
        <w:ind w:left="0" w:leftChars="0" w:hanging="400" w:hangingChars="200"/>
        <w:rPr>
          <w:rFonts w:hint="default"/>
        </w:rPr>
      </w:pPr>
      <w:r>
        <w:rPr>
          <w:rFonts w:hint="eastAsia"/>
        </w:rPr>
        <w:t>（５）</w:t>
      </w:r>
      <w:r>
        <w:rPr>
          <w:rFonts w:hint="default"/>
        </w:rPr>
        <w:t>現場の収ま</w:t>
      </w:r>
      <w:r>
        <w:rPr>
          <w:rFonts w:hint="eastAsia"/>
        </w:rPr>
        <w:t>り、</w:t>
      </w:r>
      <w:r>
        <w:rPr>
          <w:rFonts w:hint="default"/>
        </w:rPr>
        <w:t>取合い等の関係で仕様書</w:t>
      </w:r>
      <w:bookmarkStart w:id="22" w:name="_GoBack"/>
      <w:bookmarkEnd w:id="22"/>
      <w:r>
        <w:rPr>
          <w:rFonts w:hint="default"/>
        </w:rPr>
        <w:t>によることが困難または不都合がある場合は</w:t>
      </w:r>
      <w:r>
        <w:rPr>
          <w:rFonts w:hint="eastAsia"/>
        </w:rPr>
        <w:t>、</w:t>
      </w:r>
      <w:r>
        <w:rPr>
          <w:rFonts w:hint="default"/>
        </w:rPr>
        <w:t>担当課と</w:t>
      </w:r>
    </w:p>
    <w:p>
      <w:pPr>
        <w:pStyle w:val="22"/>
        <w:spacing w:line="342" w:lineRule="exact"/>
        <w:ind w:left="440" w:leftChars="100" w:hanging="200" w:hangingChars="100"/>
        <w:rPr>
          <w:rFonts w:hint="default"/>
        </w:rPr>
      </w:pPr>
      <w:r>
        <w:rPr>
          <w:rFonts w:hint="default"/>
        </w:rPr>
        <w:t>協議すること。なお、軽微な仕様等の変更が必要な場合は、原則としてそれらに</w:t>
      </w:r>
      <w:r>
        <w:rPr>
          <w:rFonts w:hint="eastAsia"/>
        </w:rPr>
        <w:t>関する</w:t>
      </w:r>
      <w:r>
        <w:rPr>
          <w:rFonts w:hint="default"/>
        </w:rPr>
        <w:t>契約金額の</w:t>
      </w:r>
    </w:p>
    <w:p>
      <w:pPr>
        <w:pStyle w:val="22"/>
        <w:spacing w:line="342" w:lineRule="exact"/>
        <w:ind w:left="240" w:leftChars="100" w:firstLine="0" w:firstLineChars="0"/>
        <w:rPr>
          <w:rFonts w:hint="default"/>
        </w:rPr>
      </w:pPr>
      <w:r>
        <w:rPr>
          <w:rFonts w:hint="default"/>
        </w:rPr>
        <w:t>増減は行わないものとする。</w:t>
      </w:r>
    </w:p>
    <w:p>
      <w:pPr>
        <w:pStyle w:val="22"/>
        <w:numPr>
          <w:numId w:val="0"/>
        </w:numPr>
        <w:tabs>
          <w:tab w:val="left" w:leader="none" w:pos="1096"/>
        </w:tabs>
        <w:spacing w:line="341" w:lineRule="exact"/>
        <w:ind w:leftChars="0" w:firstLineChars="0"/>
        <w:rPr>
          <w:rFonts w:hint="default"/>
        </w:rPr>
      </w:pPr>
      <w:bookmarkStart w:id="23" w:name="bookmark27"/>
      <w:bookmarkEnd w:id="23"/>
      <w:r>
        <w:rPr>
          <w:rFonts w:hint="eastAsia"/>
        </w:rPr>
        <w:t>（６）</w:t>
      </w:r>
      <w:r>
        <w:rPr>
          <w:rFonts w:hint="default"/>
        </w:rPr>
        <w:t>疑義の解釈</w:t>
      </w:r>
    </w:p>
    <w:p>
      <w:pPr>
        <w:pStyle w:val="22"/>
        <w:spacing w:after="320" w:afterLines="0" w:afterAutospacing="0" w:line="341" w:lineRule="exact"/>
        <w:ind w:left="240" w:leftChars="100" w:firstLine="280" w:firstLineChars="140"/>
        <w:rPr>
          <w:rFonts w:hint="default"/>
        </w:rPr>
      </w:pPr>
      <w:r>
        <w:rPr>
          <w:rFonts w:hint="default"/>
        </w:rPr>
        <w:t>本仕様書に記載のない事項、または、解釈に疑義が生じた場合は、双方協議のうえ解決するも</w:t>
      </w:r>
      <w:r>
        <w:rPr>
          <w:rFonts w:hint="eastAsia"/>
        </w:rPr>
        <w:t>の</w:t>
      </w:r>
      <w:r>
        <w:rPr>
          <w:rFonts w:hint="default"/>
        </w:rPr>
        <w:t>とする。</w:t>
      </w:r>
      <w:bookmarkStart w:id="24" w:name="bookmark28"/>
      <w:bookmarkEnd w:id="24"/>
    </w:p>
    <w:sectPr>
      <w:footerReference r:id="rId6" w:type="default"/>
      <w:pgSz w:w="11900" w:h="16840"/>
      <w:pgMar w:top="1306" w:right="1287" w:bottom="1274" w:left="1411" w:header="878" w:footer="3" w:gutter="0"/>
      <w:pgNumType w:start="1"/>
      <w:cols w:space="720"/>
      <w:noEndnote w:val="1"/>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pacing w:line="1" w:lineRule="exact"/>
      <w:rPr>
        <w:rFonts w:hint="default"/>
      </w:rPr>
    </w:pPr>
    <w:r>
      <w:rPr>
        <w:rFonts w:hint="default"/>
      </w:rPr>
      <mc:AlternateContent>
        <mc:Choice Requires="wps">
          <w:drawing>
            <wp:anchor distT="0" distB="0" distL="0" distR="0" simplePos="0" relativeHeight="2" behindDoc="1" locked="0" layoutInCell="1" hidden="0" allowOverlap="1">
              <wp:simplePos x="0" y="0"/>
              <wp:positionH relativeFrom="page">
                <wp:posOffset>3691255</wp:posOffset>
              </wp:positionH>
              <wp:positionV relativeFrom="page">
                <wp:posOffset>9947910</wp:posOffset>
              </wp:positionV>
              <wp:extent cx="240665" cy="103505"/>
              <wp:effectExtent l="0" t="0" r="635" b="635"/>
              <wp:wrapNone/>
              <wp:docPr id="2049" name="Shape 1"/>
              <a:graphic xmlns:a="http://schemas.openxmlformats.org/drawingml/2006/main">
                <a:graphicData uri="http://schemas.microsoft.com/office/word/2010/wordprocessingShape">
                  <wps:wsp>
                    <wps:cNvPr id="2049" name="Shape 1"/>
                    <wps:cNvSpPr txBox="1"/>
                    <wps:spPr>
                      <a:xfrm>
                        <a:off x="0" y="0"/>
                        <a:ext cx="240665" cy="103505"/>
                      </a:xfrm>
                      <a:prstGeom prst="rect">
                        <a:avLst/>
                      </a:prstGeom>
                      <a:noFill/>
                    </wps:spPr>
                    <wps:txbx>
                      <w:txbxContent>
                        <w:p>
                          <w:pPr>
                            <w:pStyle w:val="20"/>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eastAsia="ＭＳ 明朝"/>
                              <w:b w:val="1"/>
                            </w:rPr>
                            <w:t>1</w:t>
                          </w:r>
                          <w:r>
                            <w:rPr>
                              <w:rFonts w:hint="eastAsia"/>
                            </w:rPr>
                            <w:fldChar w:fldCharType="end"/>
                          </w:r>
                          <w:r>
                            <w:rPr>
                              <w:rFonts w:hint="default" w:ascii="ＭＳ 明朝" w:hAnsi="ＭＳ 明朝" w:eastAsia="ＭＳ 明朝"/>
                              <w:b w:val="1"/>
                            </w:rPr>
                            <w:t xml:space="preserve"> / </w:t>
                          </w:r>
                          <w:r>
                            <w:rPr>
                              <w:rFonts w:hint="eastAsia" w:ascii="ＭＳ 明朝" w:hAnsi="ＭＳ 明朝" w:eastAsia="ＭＳ 明朝"/>
                              <w:b w:val="1"/>
                            </w:rPr>
                            <w:t>2</w:t>
                          </w:r>
                        </w:p>
                      </w:txbxContent>
                    </wps:txbx>
                    <wps:bodyPr vertOverflow="overflow" horzOverflow="overflow"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style="mso-position-vertical-relative:page;z-index:-503316478;mso-wrap-distance-left:0pt;width:18.95pt;height:8.15pt;mso-position-horizontal-relative:page;position:absolute;margin-left:290.64pt;margin-top:783.3pt;mso-wrap-distance-bottom:0pt;mso-wrap-distance-right:0pt;mso-wrap-distance-top:0pt;mso-wrap-style:none;" o:spid="_x0000_s2049" o:allowincell="t" o:allowoverlap="t" filled="f" stroked="f" o:spt="202" type="#_x0000_t202">
              <v:fill/>
              <v:textbox style="layout-flow:horizontal;mso-fit-shape-to-text:t;" inset="0mm,0mm,0mm,0mm">
                <w:txbxContent>
                  <w:p>
                    <w:pPr>
                      <w:pStyle w:val="20"/>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eastAsia="ＭＳ 明朝"/>
                        <w:b w:val="1"/>
                      </w:rPr>
                      <w:t>1</w:t>
                    </w:r>
                    <w:r>
                      <w:rPr>
                        <w:rFonts w:hint="eastAsia"/>
                      </w:rPr>
                      <w:fldChar w:fldCharType="end"/>
                    </w:r>
                    <w:r>
                      <w:rPr>
                        <w:rFonts w:hint="default" w:ascii="ＭＳ 明朝" w:hAnsi="ＭＳ 明朝" w:eastAsia="ＭＳ 明朝"/>
                        <w:b w:val="1"/>
                      </w:rPr>
                      <w:t xml:space="preserve"> / </w:t>
                    </w:r>
                    <w:r>
                      <w:rPr>
                        <w:rFonts w:hint="eastAsia" w:ascii="ＭＳ 明朝" w:hAnsi="ＭＳ 明朝" w:eastAsia="ＭＳ 明朝"/>
                        <w:b w:val="1"/>
                      </w:rPr>
                      <w:t>2</w:t>
                    </w:r>
                  </w:p>
                </w:txbxContent>
              </v:textbox>
              <v:imagedata o:title=""/>
              <w10:wrap type="none" anchorx="page" anchory="page"/>
            </v:shape>
          </w:pict>
        </mc:Fallback>
      </mc:AlternateContent>
    </w:r>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29CCFED8"/>
    <w:lvl w:ilvl="0" w:tplc="E0F84CC8">
      <w:start w:val="1"/>
      <w:numFmt w:val="decimalFullWidth"/>
      <w:lvlText w:val="%1．"/>
      <w:lvlJc w:val="left"/>
      <w:pPr>
        <w:ind w:left="420" w:hanging="420"/>
      </w:pPr>
      <w:rPr>
        <w:rFonts w:hint="default" w:ascii="ＭＳ 明朝" w:hAnsi="ＭＳ 明朝" w:eastAsia="ＭＳ 明朝"/>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81"/>
  <w:drawingGridVerticalSpacing w:val="181"/>
  <w:characterSpacingControl w:val="compressPunctuation"/>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Theme="minorEastAsia"/>
        <w:sz w:val="24"/>
      </w:rPr>
    </w:rPrDefault>
    <w:pPrDefault/>
  </w:docDefaults>
  <w:style w:type="paragraph" w:styleId="0" w:default="1">
    <w:name w:val="Normal"/>
    <w:next w:val="0"/>
    <w:link w:val="0"/>
    <w:uiPriority w:val="0"/>
    <w:qFormat/>
    <w:rPr>
      <w:rFonts w:eastAsia="Times New Roman"/>
      <w:color w:val="000000"/>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Heading #1|1_"/>
    <w:basedOn w:val="10"/>
    <w:next w:val="15"/>
    <w:link w:val="19"/>
    <w:uiPriority w:val="0"/>
    <w:rPr>
      <w:rFonts w:ascii="ＭＳ 明朝" w:hAnsi="ＭＳ 明朝" w:eastAsia="ＭＳ 明朝"/>
      <w:u w:val="none" w:color="auto"/>
      <w:shd w:val="clear" w:color="auto" w:fill="auto"/>
    </w:rPr>
  </w:style>
  <w:style w:type="character" w:styleId="16" w:customStyle="1">
    <w:name w:val="Header or footer|2_"/>
    <w:basedOn w:val="10"/>
    <w:next w:val="16"/>
    <w:link w:val="20"/>
    <w:uiPriority w:val="0"/>
    <w:rPr>
      <w:sz w:val="20"/>
      <w:u w:val="none" w:color="auto"/>
      <w:shd w:val="clear" w:color="auto" w:fill="auto"/>
    </w:rPr>
  </w:style>
  <w:style w:type="character" w:styleId="17" w:customStyle="1">
    <w:name w:val="Body text|2_"/>
    <w:basedOn w:val="10"/>
    <w:next w:val="17"/>
    <w:link w:val="21"/>
    <w:uiPriority w:val="0"/>
    <w:rPr>
      <w:rFonts w:ascii="ＭＳ Ｐ明朝" w:hAnsi="ＭＳ Ｐ明朝" w:eastAsia="ＭＳ Ｐ明朝"/>
      <w:sz w:val="20"/>
      <w:u w:val="none" w:color="auto"/>
      <w:shd w:val="clear" w:color="auto" w:fill="auto"/>
    </w:rPr>
  </w:style>
  <w:style w:type="character" w:styleId="18" w:customStyle="1">
    <w:name w:val="Body text|1_"/>
    <w:basedOn w:val="10"/>
    <w:next w:val="18"/>
    <w:link w:val="22"/>
    <w:uiPriority w:val="0"/>
    <w:rPr>
      <w:rFonts w:ascii="ＭＳ 明朝" w:hAnsi="ＭＳ 明朝" w:eastAsia="ＭＳ 明朝"/>
      <w:sz w:val="20"/>
      <w:u w:val="none" w:color="auto"/>
      <w:shd w:val="clear" w:color="auto" w:fill="auto"/>
    </w:rPr>
  </w:style>
  <w:style w:type="paragraph" w:styleId="19" w:customStyle="1">
    <w:name w:val="Heading #1|1"/>
    <w:basedOn w:val="0"/>
    <w:next w:val="19"/>
    <w:link w:val="15"/>
    <w:uiPriority w:val="0"/>
    <w:pPr>
      <w:spacing w:before="180" w:beforeLines="0" w:beforeAutospacing="0" w:after="1000" w:afterLines="0" w:afterAutospacing="0"/>
      <w:jc w:val="center"/>
      <w:outlineLvl w:val="0"/>
    </w:pPr>
    <w:rPr>
      <w:rFonts w:ascii="ＭＳ 明朝" w:hAnsi="ＭＳ 明朝" w:eastAsia="ＭＳ 明朝"/>
    </w:rPr>
  </w:style>
  <w:style w:type="paragraph" w:styleId="20" w:customStyle="1">
    <w:name w:val="Header or footer|2"/>
    <w:basedOn w:val="0"/>
    <w:next w:val="20"/>
    <w:link w:val="16"/>
    <w:uiPriority w:val="0"/>
    <w:rPr>
      <w:sz w:val="20"/>
    </w:rPr>
  </w:style>
  <w:style w:type="paragraph" w:styleId="21" w:customStyle="1">
    <w:name w:val="Body text|2"/>
    <w:basedOn w:val="0"/>
    <w:next w:val="21"/>
    <w:link w:val="17"/>
    <w:uiPriority w:val="0"/>
    <w:pPr>
      <w:spacing w:line="342" w:lineRule="exact"/>
      <w:ind w:firstLine="210"/>
    </w:pPr>
    <w:rPr>
      <w:rFonts w:ascii="ＭＳ Ｐ明朝" w:hAnsi="ＭＳ Ｐ明朝" w:eastAsia="ＭＳ Ｐ明朝"/>
      <w:sz w:val="20"/>
    </w:rPr>
  </w:style>
  <w:style w:type="paragraph" w:styleId="22" w:customStyle="1">
    <w:name w:val="Body text|1"/>
    <w:basedOn w:val="0"/>
    <w:next w:val="22"/>
    <w:link w:val="18"/>
    <w:uiPriority w:val="0"/>
    <w:pPr>
      <w:spacing w:line="410" w:lineRule="auto"/>
    </w:pPr>
    <w:rPr>
      <w:rFonts w:ascii="ＭＳ 明朝" w:hAnsi="ＭＳ 明朝" w:eastAsia="ＭＳ 明朝"/>
      <w:sz w:val="20"/>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211</TotalTime>
  <Pages>2</Pages>
  <Words>10</Words>
  <Characters>1248</Characters>
  <Application>JUST Note</Application>
  <Lines>57</Lines>
  <Paragraphs>40</Paragraphs>
  <CharactersWithSpaces>1262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一戸　淳也</dc:creator>
  <cp:lastModifiedBy>User</cp:lastModifiedBy>
  <cp:lastPrinted>2026-03-17T02:45:45Z</cp:lastPrinted>
  <dcterms:created xsi:type="dcterms:W3CDTF">2026-03-07T15:14:00Z</dcterms:created>
  <dcterms:modified xsi:type="dcterms:W3CDTF">2026-03-31T06:40:57Z</dcterms:modified>
  <cp:revision>11</cp:revision>
</cp:coreProperties>
</file>