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Theme="majorEastAsia" w:hAnsiTheme="majorEastAsia"/>
          <w:sz w:val="24"/>
        </w:rPr>
      </w:pPr>
      <w:bookmarkStart w:id="0" w:name="_GoBack"/>
      <w:bookmarkEnd w:id="0"/>
    </w:p>
    <w:p>
      <w:pPr>
        <w:pStyle w:val="0"/>
        <w:rPr>
          <w:rFonts w:hint="default" w:asciiTheme="majorEastAsia" w:hAnsiTheme="majorEastAsia"/>
          <w:sz w:val="24"/>
        </w:rPr>
      </w:pPr>
    </w:p>
    <w:p>
      <w:pPr>
        <w:pStyle w:val="0"/>
        <w:jc w:val="center"/>
        <w:rPr>
          <w:rFonts w:hint="default" w:asciiTheme="majorEastAsia" w:hAnsiTheme="majorEastAsia"/>
          <w:sz w:val="40"/>
        </w:rPr>
      </w:pPr>
    </w:p>
    <w:p>
      <w:pPr>
        <w:pStyle w:val="0"/>
        <w:jc w:val="center"/>
        <w:rPr>
          <w:rFonts w:hint="default" w:asciiTheme="majorEastAsia" w:hAnsiTheme="majorEastAsia"/>
          <w:sz w:val="40"/>
        </w:rPr>
      </w:pPr>
      <w:r>
        <w:rPr>
          <w:rFonts w:hint="eastAsia" w:asciiTheme="majorEastAsia" w:hAnsiTheme="majorEastAsia"/>
          <w:sz w:val="40"/>
        </w:rPr>
        <w:t>教職員用</w:t>
      </w:r>
      <w:r>
        <w:rPr>
          <w:rFonts w:hint="eastAsia" w:asciiTheme="majorEastAsia" w:hAnsiTheme="majorEastAsia"/>
          <w:sz w:val="40"/>
        </w:rPr>
        <w:t xml:space="preserve"> Microsoft365 A3 </w:t>
      </w:r>
      <w:r>
        <w:rPr>
          <w:rFonts w:hint="eastAsia" w:asciiTheme="majorEastAsia" w:hAnsiTheme="majorEastAsia"/>
          <w:sz w:val="40"/>
        </w:rPr>
        <w:t>ライセンス</w:t>
      </w:r>
    </w:p>
    <w:p>
      <w:pPr>
        <w:pStyle w:val="0"/>
        <w:jc w:val="center"/>
        <w:rPr>
          <w:rFonts w:hint="default" w:asciiTheme="majorEastAsia" w:hAnsiTheme="majorEastAsia"/>
          <w:sz w:val="40"/>
        </w:rPr>
      </w:pPr>
      <w:r>
        <w:rPr>
          <w:rFonts w:hint="eastAsia" w:asciiTheme="majorEastAsia" w:hAnsiTheme="majorEastAsia"/>
          <w:sz w:val="40"/>
        </w:rPr>
        <w:t>調達仕様書</w:t>
      </w:r>
    </w:p>
    <w:p>
      <w:pPr>
        <w:pStyle w:val="0"/>
        <w:rPr>
          <w:rFonts w:hint="default" w:asciiTheme="majorEastAsia" w:hAnsiTheme="majorEastAsia"/>
          <w:sz w:val="24"/>
        </w:rPr>
      </w:pPr>
    </w:p>
    <w:p>
      <w:pPr>
        <w:pStyle w:val="0"/>
        <w:rPr>
          <w:rFonts w:hint="default" w:asciiTheme="majorEastAsia" w:hAnsiTheme="majorEastAsia"/>
          <w:sz w:val="24"/>
        </w:rPr>
      </w:pPr>
    </w:p>
    <w:p>
      <w:pPr>
        <w:pStyle w:val="0"/>
        <w:rPr>
          <w:rFonts w:hint="default" w:asciiTheme="majorEastAsia" w:hAnsiTheme="majorEastAsia"/>
          <w:sz w:val="24"/>
        </w:rPr>
      </w:pPr>
    </w:p>
    <w:p>
      <w:pPr>
        <w:pStyle w:val="0"/>
        <w:rPr>
          <w:rFonts w:hint="default" w:asciiTheme="majorEastAsia" w:hAnsiTheme="majorEastAsia"/>
          <w:sz w:val="24"/>
        </w:rPr>
      </w:pPr>
    </w:p>
    <w:p>
      <w:pPr>
        <w:pStyle w:val="0"/>
        <w:rPr>
          <w:rFonts w:hint="default" w:asciiTheme="majorEastAsia" w:hAnsiTheme="majorEastAsia"/>
          <w:sz w:val="24"/>
        </w:rPr>
      </w:pPr>
    </w:p>
    <w:p>
      <w:pPr>
        <w:pStyle w:val="0"/>
        <w:rPr>
          <w:rFonts w:hint="default" w:asciiTheme="majorEastAsia" w:hAnsiTheme="majorEastAsia"/>
          <w:sz w:val="24"/>
        </w:rPr>
      </w:pPr>
    </w:p>
    <w:p>
      <w:pPr>
        <w:pStyle w:val="0"/>
        <w:rPr>
          <w:rFonts w:hint="default" w:asciiTheme="majorEastAsia" w:hAnsiTheme="majorEastAsia"/>
          <w:sz w:val="24"/>
        </w:rPr>
      </w:pPr>
    </w:p>
    <w:p>
      <w:pPr>
        <w:pStyle w:val="0"/>
        <w:rPr>
          <w:rFonts w:hint="default" w:asciiTheme="majorEastAsia" w:hAnsiTheme="majorEastAsia"/>
          <w:sz w:val="24"/>
        </w:rPr>
      </w:pPr>
    </w:p>
    <w:p>
      <w:pPr>
        <w:pStyle w:val="0"/>
        <w:rPr>
          <w:rFonts w:hint="default" w:asciiTheme="majorEastAsia" w:hAnsiTheme="majorEastAsia"/>
          <w:sz w:val="24"/>
        </w:rPr>
      </w:pPr>
    </w:p>
    <w:p>
      <w:pPr>
        <w:pStyle w:val="0"/>
        <w:jc w:val="center"/>
        <w:rPr>
          <w:rFonts w:hint="default" w:asciiTheme="majorEastAsia" w:hAnsiTheme="majorEastAsia"/>
          <w:sz w:val="28"/>
        </w:rPr>
      </w:pPr>
      <w:r>
        <w:rPr>
          <w:rFonts w:hint="eastAsia" w:asciiTheme="majorEastAsia" w:hAnsiTheme="majorEastAsia"/>
          <w:sz w:val="28"/>
        </w:rPr>
        <w:t>令和８年３月</w:t>
      </w:r>
    </w:p>
    <w:p>
      <w:pPr>
        <w:pStyle w:val="0"/>
        <w:jc w:val="center"/>
        <w:rPr>
          <w:rFonts w:hint="default" w:asciiTheme="majorEastAsia" w:hAnsiTheme="majorEastAsia"/>
          <w:sz w:val="28"/>
        </w:rPr>
      </w:pPr>
      <w:r>
        <w:rPr>
          <w:rFonts w:hint="eastAsia" w:asciiTheme="majorEastAsia" w:hAnsiTheme="majorEastAsia"/>
          <w:sz w:val="28"/>
        </w:rPr>
        <w:t>五所川原市教育委員会教育総務課</w:t>
      </w:r>
    </w:p>
    <w:p>
      <w:pPr>
        <w:pStyle w:val="0"/>
        <w:rPr>
          <w:rFonts w:hint="default" w:asciiTheme="majorEastAsia" w:hAnsiTheme="majorEastAsia"/>
        </w:rPr>
      </w:pPr>
    </w:p>
    <w:p>
      <w:pPr>
        <w:pStyle w:val="0"/>
        <w:rPr>
          <w:rFonts w:hint="default" w:asciiTheme="majorEastAsia" w:hAnsiTheme="majorEastAsia"/>
        </w:rPr>
      </w:pPr>
    </w:p>
    <w:p>
      <w:pPr>
        <w:pStyle w:val="0"/>
        <w:rPr>
          <w:rFonts w:hint="default" w:asciiTheme="majorEastAsia" w:hAnsiTheme="majorEastAsia"/>
        </w:rPr>
      </w:pPr>
    </w:p>
    <w:p>
      <w:pPr>
        <w:pStyle w:val="0"/>
        <w:rPr>
          <w:rFonts w:hint="default" w:asciiTheme="majorEastAsia" w:hAnsiTheme="majorEastAsia"/>
        </w:rPr>
      </w:pPr>
    </w:p>
    <w:p>
      <w:pPr>
        <w:pStyle w:val="0"/>
        <w:rPr>
          <w:rFonts w:hint="default" w:asciiTheme="majorEastAsia" w:hAnsiTheme="majorEastAsia"/>
        </w:rPr>
      </w:pPr>
    </w:p>
    <w:p>
      <w:pPr>
        <w:pStyle w:val="0"/>
        <w:rPr>
          <w:rFonts w:hint="default" w:asciiTheme="majorEastAsia" w:hAnsiTheme="majorEastAsia"/>
        </w:rPr>
      </w:pPr>
    </w:p>
    <w:p>
      <w:pPr>
        <w:pStyle w:val="1"/>
        <w:rPr>
          <w:rFonts w:hint="default" w:asciiTheme="majorEastAsia" w:hAnsiTheme="majorEastAsia"/>
          <w:sz w:val="21"/>
        </w:rPr>
      </w:pPr>
      <w:r>
        <w:rPr>
          <w:rFonts w:hint="eastAsia" w:asciiTheme="majorEastAsia" w:hAnsiTheme="majorEastAsia"/>
          <w:sz w:val="21"/>
        </w:rPr>
        <w:t>件名</w:t>
      </w:r>
    </w:p>
    <w:p>
      <w:pPr>
        <w:pStyle w:val="0"/>
        <w:ind w:firstLine="210" w:firstLineChars="100"/>
        <w:rPr>
          <w:rFonts w:hint="default" w:asciiTheme="majorEastAsia" w:hAnsiTheme="majorEastAsia"/>
        </w:rPr>
      </w:pPr>
      <w:r>
        <w:rPr>
          <w:rFonts w:hint="eastAsia" w:asciiTheme="majorEastAsia" w:hAnsiTheme="majorEastAsia"/>
        </w:rPr>
        <w:t>教職員用</w:t>
      </w:r>
      <w:r>
        <w:rPr>
          <w:rFonts w:hint="eastAsia" w:asciiTheme="majorEastAsia" w:hAnsiTheme="majorEastAsia"/>
        </w:rPr>
        <w:t xml:space="preserve"> Microsoft365 A3 </w:t>
      </w:r>
      <w:r>
        <w:rPr>
          <w:rFonts w:hint="eastAsia" w:asciiTheme="majorEastAsia" w:hAnsiTheme="majorEastAsia"/>
        </w:rPr>
        <w:t>ライセンス調達</w:t>
      </w:r>
    </w:p>
    <w:p>
      <w:pPr>
        <w:pStyle w:val="0"/>
        <w:rPr>
          <w:rFonts w:hint="default" w:asciiTheme="majorEastAsia" w:hAnsiTheme="majorEastAsia"/>
        </w:rPr>
      </w:pPr>
    </w:p>
    <w:p>
      <w:pPr>
        <w:pStyle w:val="1"/>
        <w:rPr>
          <w:rFonts w:hint="default" w:asciiTheme="majorEastAsia" w:hAnsiTheme="majorEastAsia"/>
          <w:sz w:val="21"/>
        </w:rPr>
      </w:pPr>
      <w:r>
        <w:rPr>
          <w:rFonts w:hint="eastAsia" w:asciiTheme="majorEastAsia" w:hAnsiTheme="majorEastAsia"/>
          <w:sz w:val="21"/>
        </w:rPr>
        <w:t>調達内容</w:t>
      </w:r>
    </w:p>
    <w:p>
      <w:pPr>
        <w:pStyle w:val="19"/>
        <w:ind w:firstLine="210" w:firstLineChars="100"/>
        <w:rPr>
          <w:rFonts w:hint="default"/>
        </w:rPr>
      </w:pPr>
      <w:r>
        <w:rPr>
          <w:rFonts w:hint="eastAsia"/>
        </w:rPr>
        <w:t>Microsoft</w:t>
      </w:r>
      <w:r>
        <w:rPr>
          <w:rFonts w:hint="eastAsia"/>
        </w:rPr>
        <w:t>社製クライアント総合製品「</w:t>
      </w:r>
      <w:r>
        <w:rPr>
          <w:rFonts w:hint="eastAsia"/>
        </w:rPr>
        <w:t>Microsoft 365 Education A3</w:t>
      </w:r>
      <w:r>
        <w:rPr>
          <w:rFonts w:hint="eastAsia"/>
        </w:rPr>
        <w:t>」　</w:t>
      </w:r>
      <w:r>
        <w:rPr>
          <w:rFonts w:hint="eastAsia"/>
        </w:rPr>
        <w:t>367</w:t>
      </w:r>
      <w:r>
        <w:rPr>
          <w:rFonts w:hint="eastAsia"/>
        </w:rPr>
        <w:t>ライセンス</w:t>
      </w:r>
    </w:p>
    <w:p>
      <w:pPr>
        <w:pStyle w:val="19"/>
        <w:ind w:firstLine="0" w:firstLineChars="0"/>
        <w:rPr>
          <w:rFonts w:hint="default"/>
        </w:rPr>
      </w:pPr>
      <w:r>
        <w:rPr>
          <w:rFonts w:hint="eastAsia"/>
        </w:rPr>
        <w:t>　・上記のうち</w:t>
      </w:r>
      <w:r>
        <w:rPr>
          <w:rFonts w:hint="eastAsia"/>
        </w:rPr>
        <w:t>1</w:t>
      </w:r>
      <w:r>
        <w:rPr>
          <w:rFonts w:hint="eastAsia"/>
        </w:rPr>
        <w:t>ライセンスは教員委員会がデバイス管理等に使用する管理者用ライセンス。</w:t>
      </w:r>
    </w:p>
    <w:p>
      <w:pPr>
        <w:pStyle w:val="19"/>
        <w:ind w:firstLine="0" w:firstLineChars="0"/>
        <w:rPr>
          <w:rFonts w:hint="default"/>
        </w:rPr>
      </w:pPr>
      <w:r>
        <w:rPr>
          <w:rFonts w:hint="eastAsia"/>
        </w:rPr>
        <w:t>　・五所川原市が指定する既存のテナントへ紐づけること。</w:t>
      </w:r>
    </w:p>
    <w:p>
      <w:pPr>
        <w:pStyle w:val="19"/>
        <w:ind w:left="358" w:leftChars="85" w:hanging="179" w:hangingChars="85"/>
        <w:rPr>
          <w:rFonts w:hint="default"/>
        </w:rPr>
      </w:pPr>
      <w:r>
        <w:rPr>
          <w:rFonts w:hint="eastAsia"/>
        </w:rPr>
        <w:t>・有効期限が令和</w:t>
      </w:r>
      <w:r>
        <w:rPr>
          <w:rFonts w:hint="eastAsia"/>
        </w:rPr>
        <w:t>8</w:t>
      </w:r>
      <w:r>
        <w:rPr>
          <w:rFonts w:hint="eastAsia"/>
        </w:rPr>
        <w:t>年３月３１日の既存ライセンスが付与されているマイクロソフトアカウントは、本調達によるライセンスによりライセンスの付与状態を維持すること。</w:t>
      </w:r>
    </w:p>
    <w:p>
      <w:pPr>
        <w:pStyle w:val="19"/>
        <w:ind w:firstLine="0" w:firstLineChars="0"/>
        <w:rPr>
          <w:rFonts w:hint="default"/>
        </w:rPr>
      </w:pPr>
    </w:p>
    <w:p>
      <w:pPr>
        <w:pStyle w:val="1"/>
        <w:rPr>
          <w:rFonts w:hint="default" w:asciiTheme="majorEastAsia" w:hAnsiTheme="majorEastAsia"/>
          <w:sz w:val="21"/>
        </w:rPr>
      </w:pPr>
      <w:r>
        <w:rPr>
          <w:rFonts w:hint="eastAsia" w:asciiTheme="majorEastAsia" w:hAnsiTheme="majorEastAsia"/>
          <w:sz w:val="21"/>
        </w:rPr>
        <w:t>納入期限</w:t>
      </w:r>
    </w:p>
    <w:p>
      <w:pPr>
        <w:pStyle w:val="0"/>
        <w:rPr>
          <w:rFonts w:hint="default" w:asciiTheme="majorEastAsia" w:hAnsiTheme="majorEastAsia"/>
          <w:sz w:val="21"/>
        </w:rPr>
      </w:pPr>
      <w:r>
        <w:rPr>
          <w:rFonts w:hint="eastAsia" w:asciiTheme="majorEastAsia" w:hAnsiTheme="majorEastAsia"/>
          <w:sz w:val="21"/>
        </w:rPr>
        <w:t>　納入期限は令和８年４月１日（水）とする。</w:t>
      </w:r>
    </w:p>
    <w:p>
      <w:pPr>
        <w:pStyle w:val="0"/>
        <w:rPr>
          <w:rFonts w:hint="default" w:asciiTheme="majorEastAsia" w:hAnsiTheme="majorEastAsia"/>
          <w:sz w:val="21"/>
        </w:rPr>
      </w:pPr>
    </w:p>
    <w:p>
      <w:pPr>
        <w:pStyle w:val="1"/>
        <w:rPr>
          <w:rFonts w:hint="default" w:asciiTheme="majorEastAsia" w:hAnsiTheme="majorEastAsia"/>
          <w:sz w:val="21"/>
        </w:rPr>
      </w:pPr>
      <w:r>
        <w:rPr>
          <w:rFonts w:hint="eastAsia" w:asciiTheme="majorEastAsia" w:hAnsiTheme="majorEastAsia"/>
          <w:sz w:val="21"/>
        </w:rPr>
        <w:t>納入場所</w:t>
      </w:r>
    </w:p>
    <w:p>
      <w:pPr>
        <w:pStyle w:val="0"/>
        <w:rPr>
          <w:rFonts w:hint="default" w:asciiTheme="majorEastAsia" w:hAnsiTheme="majorEastAsia"/>
        </w:rPr>
      </w:pPr>
      <w:r>
        <w:rPr>
          <w:rFonts w:hint="eastAsia" w:asciiTheme="majorEastAsia" w:hAnsiTheme="majorEastAsia"/>
        </w:rPr>
        <w:t>　五所川原市教育委員会教育総務課</w:t>
      </w:r>
    </w:p>
    <w:p>
      <w:pPr>
        <w:pStyle w:val="0"/>
        <w:rPr>
          <w:rFonts w:hint="default" w:asciiTheme="majorEastAsia" w:hAnsiTheme="majorEastAsia"/>
        </w:rPr>
      </w:pPr>
    </w:p>
    <w:p>
      <w:pPr>
        <w:pStyle w:val="1"/>
        <w:rPr>
          <w:rFonts w:hint="default" w:asciiTheme="majorEastAsia" w:hAnsiTheme="majorEastAsia"/>
          <w:sz w:val="21"/>
        </w:rPr>
      </w:pPr>
      <w:r>
        <w:rPr>
          <w:rFonts w:hint="eastAsia" w:asciiTheme="majorEastAsia" w:hAnsiTheme="majorEastAsia"/>
          <w:sz w:val="21"/>
        </w:rPr>
        <w:t>ライセンス有効期間</w:t>
      </w:r>
    </w:p>
    <w:p>
      <w:pPr>
        <w:pStyle w:val="19"/>
        <w:ind w:firstLine="210" w:firstLineChars="100"/>
        <w:rPr>
          <w:rFonts w:hint="default"/>
        </w:rPr>
      </w:pPr>
      <w:r>
        <w:rPr>
          <w:rFonts w:hint="eastAsia"/>
        </w:rPr>
        <w:t>令和８年４月１日（水）～令和９年３月３１日（水）</w:t>
      </w:r>
    </w:p>
    <w:p>
      <w:pPr>
        <w:pStyle w:val="0"/>
        <w:rPr>
          <w:rFonts w:hint="default" w:asciiTheme="majorEastAsia" w:hAnsiTheme="majorEastAsia"/>
        </w:rPr>
      </w:pPr>
    </w:p>
    <w:p>
      <w:pPr>
        <w:pStyle w:val="1"/>
        <w:rPr>
          <w:rFonts w:hint="default" w:asciiTheme="majorEastAsia" w:hAnsiTheme="majorEastAsia"/>
          <w:sz w:val="21"/>
        </w:rPr>
      </w:pPr>
      <w:r>
        <w:rPr>
          <w:rFonts w:hint="eastAsia" w:asciiTheme="majorEastAsia" w:hAnsiTheme="majorEastAsia"/>
          <w:sz w:val="21"/>
        </w:rPr>
        <w:t>支払条件</w:t>
      </w:r>
    </w:p>
    <w:p>
      <w:pPr>
        <w:pStyle w:val="18"/>
        <w:rPr>
          <w:rFonts w:hint="default"/>
        </w:rPr>
      </w:pPr>
      <w:r>
        <w:rPr>
          <w:rFonts w:hint="eastAsia"/>
        </w:rPr>
        <w:t>　検収後、五所川原市より一括払いとする。</w:t>
      </w:r>
    </w:p>
    <w:p>
      <w:pPr>
        <w:pStyle w:val="19"/>
        <w:ind w:left="0" w:leftChars="0" w:firstLine="0" w:firstLineChars="0"/>
        <w:rPr>
          <w:rFonts w:hint="default"/>
        </w:rPr>
      </w:pPr>
    </w:p>
    <w:p>
      <w:pPr>
        <w:pStyle w:val="1"/>
        <w:rPr>
          <w:rFonts w:hint="default" w:asciiTheme="majorEastAsia" w:hAnsiTheme="majorEastAsia"/>
          <w:sz w:val="21"/>
        </w:rPr>
      </w:pPr>
      <w:r>
        <w:rPr>
          <w:rFonts w:hint="eastAsia" w:asciiTheme="majorEastAsia" w:hAnsiTheme="majorEastAsia"/>
          <w:sz w:val="21"/>
        </w:rPr>
        <w:t>その他</w:t>
      </w:r>
    </w:p>
    <w:p>
      <w:pPr>
        <w:pStyle w:val="19"/>
        <w:numPr>
          <w:numId w:val="0"/>
        </w:numPr>
        <w:ind w:leftChars="0" w:firstLineChars="0"/>
        <w:rPr>
          <w:rFonts w:hint="default"/>
        </w:rPr>
      </w:pPr>
      <w:r>
        <w:rPr>
          <w:rFonts w:hint="eastAsia"/>
        </w:rPr>
        <w:t>仕様書に記載されていない事項で疑義が生じた場合は、発注者と受注者で協議のうえ対応するものとする。</w:t>
      </w:r>
    </w:p>
    <w:sectPr>
      <w:pgSz w:w="11906" w:h="16838"/>
      <w:pgMar w:top="1418" w:right="1418" w:bottom="1418" w:left="1418"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127A3556"/>
    <w:lvl w:ilvl="0">
      <w:start w:val="1"/>
      <w:numFmt w:val="decimal"/>
      <w:pStyle w:val="1"/>
      <w:lvlText w:val="%1."/>
      <w:lvlJc w:val="left"/>
      <w:pPr>
        <w:ind w:left="425" w:hanging="425"/>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1"/>
      <w:numFmt w:val="decimal"/>
      <w:pStyle w:val="2"/>
      <w:lvlText w:val="%1.%2."/>
      <w:lvlJc w:val="left"/>
      <w:pPr>
        <w:ind w:left="567" w:hanging="567"/>
      </w:pPr>
      <w:rPr>
        <w:rFonts w:ascii="游ゴシック" w:hAnsi="游ゴシック" w:eastAsia="游ゴシック"/>
      </w:rPr>
    </w:lvl>
    <w:lvl w:ilvl="2">
      <w:start w:val="1"/>
      <w:numFmt w:val="decimal"/>
      <w:pStyle w:val="3"/>
      <w:lvlText w:val="%1.%2.%3."/>
      <w:lvlJc w:val="left"/>
      <w:pPr>
        <w:ind w:left="127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0000002"/>
    <w:multiLevelType w:val="hybridMultilevel"/>
    <w:tmpl w:val="736465F0"/>
    <w:lvl w:ilvl="0" w:tplc="3FF03BCE">
      <w:start w:val="1"/>
      <w:numFmt w:val="aiueoFullWidth"/>
      <w:pStyle w:val="32"/>
      <w:lvlText w:val="(%1)"/>
      <w:lvlJc w:val="left"/>
      <w:pPr>
        <w:ind w:left="420" w:hanging="420"/>
      </w:pPr>
      <w:rPr>
        <w:rFonts w:hint="eastAsia"/>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5888BA0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Theme="majorHAnsi" w:hAnsiTheme="majorHAnsi" w:eastAsiaTheme="majorEastAsia"/>
    </w:rPr>
  </w:style>
  <w:style w:type="paragraph" w:styleId="1">
    <w:name w:val="heading 1"/>
    <w:basedOn w:val="0"/>
    <w:next w:val="0"/>
    <w:link w:val="15"/>
    <w:uiPriority w:val="0"/>
    <w:qFormat/>
    <w:pPr>
      <w:keepNext w:val="1"/>
      <w:numPr>
        <w:ilvl w:val="0"/>
        <w:numId w:val="1"/>
      </w:numPr>
      <w:outlineLvl w:val="0"/>
    </w:pPr>
    <w:rPr>
      <w:sz w:val="24"/>
    </w:rPr>
  </w:style>
  <w:style w:type="paragraph" w:styleId="2">
    <w:name w:val="heading 2"/>
    <w:basedOn w:val="0"/>
    <w:next w:val="0"/>
    <w:link w:val="16"/>
    <w:uiPriority w:val="0"/>
    <w:qFormat/>
    <w:pPr>
      <w:keepNext w:val="1"/>
      <w:numPr>
        <w:ilvl w:val="1"/>
        <w:numId w:val="1"/>
      </w:numPr>
      <w:outlineLvl w:val="1"/>
    </w:pPr>
    <w:rPr>
      <w:rFonts w:eastAsiaTheme="majorHAnsi"/>
    </w:rPr>
  </w:style>
  <w:style w:type="paragraph" w:styleId="3">
    <w:name w:val="heading 3"/>
    <w:basedOn w:val="0"/>
    <w:next w:val="0"/>
    <w:link w:val="24"/>
    <w:uiPriority w:val="0"/>
    <w:qFormat/>
    <w:pPr>
      <w:keepNext w:val="1"/>
      <w:numPr>
        <w:ilvl w:val="2"/>
        <w:numId w:val="1"/>
      </w:numPr>
      <w:ind w:left="709"/>
      <w:outlineLvl w:val="2"/>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basedOn w:val="10"/>
    <w:next w:val="15"/>
    <w:link w:val="1"/>
    <w:uiPriority w:val="0"/>
    <w:rPr>
      <w:rFonts w:asciiTheme="majorHAnsi" w:hAnsiTheme="majorHAnsi" w:eastAsiaTheme="majorEastAsia"/>
      <w:sz w:val="24"/>
    </w:rPr>
  </w:style>
  <w:style w:type="character" w:styleId="16" w:customStyle="1">
    <w:name w:val="見出し 2 (文字)"/>
    <w:basedOn w:val="10"/>
    <w:next w:val="16"/>
    <w:link w:val="2"/>
    <w:uiPriority w:val="0"/>
    <w:rPr>
      <w:rFonts w:asciiTheme="majorHAnsi" w:hAnsiTheme="majorHAnsi" w:eastAsiaTheme="majorHAnsi"/>
    </w:rPr>
  </w:style>
  <w:style w:type="paragraph" w:styleId="17">
    <w:name w:val="List Paragraph"/>
    <w:basedOn w:val="0"/>
    <w:next w:val="17"/>
    <w:link w:val="20"/>
    <w:uiPriority w:val="0"/>
    <w:qFormat/>
    <w:pPr>
      <w:ind w:left="840" w:leftChars="400"/>
    </w:pPr>
  </w:style>
  <w:style w:type="paragraph" w:styleId="18" w:customStyle="1">
    <w:name w:val="リスト（ア）"/>
    <w:basedOn w:val="0"/>
    <w:next w:val="18"/>
    <w:link w:val="21"/>
    <w:uiPriority w:val="0"/>
    <w:qFormat/>
    <w:pPr>
      <w:ind w:right="210" w:rightChars="100"/>
      <w:jc w:val="left"/>
    </w:pPr>
    <w:rPr>
      <w:rFonts w:asciiTheme="majorEastAsia" w:hAnsiTheme="majorEastAsia"/>
    </w:rPr>
  </w:style>
  <w:style w:type="paragraph" w:styleId="19" w:customStyle="1">
    <w:name w:val="標準２"/>
    <w:basedOn w:val="0"/>
    <w:next w:val="19"/>
    <w:link w:val="23"/>
    <w:uiPriority w:val="0"/>
    <w:qFormat/>
    <w:pPr>
      <w:ind w:firstLine="141" w:firstLineChars="67"/>
    </w:pPr>
    <w:rPr>
      <w:rFonts w:asciiTheme="majorEastAsia" w:hAnsiTheme="majorEastAsia"/>
    </w:rPr>
  </w:style>
  <w:style w:type="character" w:styleId="20" w:customStyle="1">
    <w:name w:val="リスト段落 (文字)"/>
    <w:basedOn w:val="10"/>
    <w:next w:val="20"/>
    <w:link w:val="17"/>
    <w:uiPriority w:val="0"/>
  </w:style>
  <w:style w:type="character" w:styleId="21" w:customStyle="1">
    <w:name w:val="リスト（ア） (文字)"/>
    <w:basedOn w:val="20"/>
    <w:next w:val="21"/>
    <w:link w:val="18"/>
    <w:uiPriority w:val="0"/>
    <w:rPr>
      <w:rFonts w:asciiTheme="majorEastAsia" w:hAnsiTheme="majorEastAsia" w:eastAsiaTheme="majorEastAsia"/>
    </w:rPr>
  </w:style>
  <w:style w:type="paragraph" w:styleId="22">
    <w:name w:val="No Spacing"/>
    <w:next w:val="22"/>
    <w:link w:val="0"/>
    <w:uiPriority w:val="0"/>
    <w:qFormat/>
    <w:pPr>
      <w:widowControl w:val="0"/>
      <w:jc w:val="both"/>
    </w:pPr>
    <w:rPr/>
  </w:style>
  <w:style w:type="character" w:styleId="23" w:customStyle="1">
    <w:name w:val="標準２ (文字)"/>
    <w:basedOn w:val="10"/>
    <w:next w:val="23"/>
    <w:link w:val="19"/>
    <w:uiPriority w:val="0"/>
    <w:rPr>
      <w:rFonts w:asciiTheme="majorEastAsia" w:hAnsiTheme="majorEastAsia" w:eastAsiaTheme="majorEastAsia"/>
    </w:rPr>
  </w:style>
  <w:style w:type="character" w:styleId="24" w:customStyle="1">
    <w:name w:val="見出し 3 (文字)"/>
    <w:basedOn w:val="10"/>
    <w:next w:val="24"/>
    <w:link w:val="3"/>
    <w:uiPriority w:val="0"/>
    <w:rPr>
      <w:rFonts w:asciiTheme="majorHAnsi" w:hAnsiTheme="majorHAnsi" w:eastAsiaTheme="majorEastAsia"/>
    </w:rPr>
  </w:style>
  <w:style w:type="paragraph" w:styleId="25" w:customStyle="1">
    <w:name w:val="Default"/>
    <w:next w:val="25"/>
    <w:link w:val="0"/>
    <w:uiPriority w:val="0"/>
    <w:pPr>
      <w:widowControl w:val="0"/>
      <w:autoSpaceDE w:val="0"/>
      <w:autoSpaceDN w:val="0"/>
      <w:adjustRightInd w:val="0"/>
    </w:pPr>
    <w:rPr>
      <w:rFonts w:ascii="ＭＳ 明朝" w:hAnsi="ＭＳ 明朝" w:eastAsia="ＭＳ 明朝"/>
      <w:color w:val="000000"/>
      <w:kern w:val="0"/>
      <w:sz w:val="24"/>
    </w:rPr>
  </w:style>
  <w:style w:type="paragraph" w:styleId="26">
    <w:name w:val="header"/>
    <w:basedOn w:val="0"/>
    <w:next w:val="26"/>
    <w:link w:val="27"/>
    <w:uiPriority w:val="0"/>
    <w:pPr>
      <w:tabs>
        <w:tab w:val="center" w:leader="none" w:pos="4252"/>
        <w:tab w:val="right" w:leader="none" w:pos="8504"/>
      </w:tabs>
      <w:snapToGrid w:val="0"/>
    </w:pPr>
  </w:style>
  <w:style w:type="character" w:styleId="27" w:customStyle="1">
    <w:name w:val="ヘッダー (文字)"/>
    <w:basedOn w:val="10"/>
    <w:next w:val="27"/>
    <w:link w:val="26"/>
    <w:uiPriority w:val="0"/>
    <w:rPr>
      <w:rFonts w:ascii="ＭＳ 明朝" w:hAnsi="ＭＳ 明朝" w:eastAsia="ＭＳ 明朝"/>
    </w:rPr>
  </w:style>
  <w:style w:type="paragraph" w:styleId="28">
    <w:name w:val="footer"/>
    <w:basedOn w:val="0"/>
    <w:next w:val="28"/>
    <w:link w:val="29"/>
    <w:uiPriority w:val="0"/>
    <w:pPr>
      <w:tabs>
        <w:tab w:val="center" w:leader="none" w:pos="4252"/>
        <w:tab w:val="right" w:leader="none" w:pos="8504"/>
      </w:tabs>
      <w:snapToGrid w:val="0"/>
    </w:pPr>
  </w:style>
  <w:style w:type="character" w:styleId="29" w:customStyle="1">
    <w:name w:val="フッター (文字)"/>
    <w:basedOn w:val="10"/>
    <w:next w:val="29"/>
    <w:link w:val="28"/>
    <w:uiPriority w:val="0"/>
    <w:rPr>
      <w:rFonts w:ascii="ＭＳ 明朝" w:hAnsi="ＭＳ 明朝" w:eastAsia="ＭＳ 明朝"/>
    </w:rPr>
  </w:style>
  <w:style w:type="paragraph" w:styleId="30">
    <w:name w:val="Balloon Text"/>
    <w:basedOn w:val="0"/>
    <w:next w:val="30"/>
    <w:link w:val="31"/>
    <w:uiPriority w:val="0"/>
    <w:semiHidden/>
    <w:rPr>
      <w:sz w:val="18"/>
    </w:rPr>
  </w:style>
  <w:style w:type="character" w:styleId="31" w:customStyle="1">
    <w:name w:val="吹き出し (文字)"/>
    <w:basedOn w:val="10"/>
    <w:next w:val="31"/>
    <w:link w:val="30"/>
    <w:uiPriority w:val="0"/>
    <w:rPr>
      <w:rFonts w:asciiTheme="majorHAnsi" w:hAnsiTheme="majorHAnsi" w:eastAsiaTheme="majorEastAsia"/>
      <w:sz w:val="18"/>
    </w:rPr>
  </w:style>
  <w:style w:type="paragraph" w:styleId="32" w:customStyle="1">
    <w:name w:val="スタイル1"/>
    <w:basedOn w:val="18"/>
    <w:next w:val="32"/>
    <w:link w:val="33"/>
    <w:uiPriority w:val="0"/>
    <w:qFormat/>
    <w:pPr>
      <w:numPr>
        <w:ilvl w:val="0"/>
        <w:numId w:val="2"/>
      </w:numPr>
    </w:pPr>
  </w:style>
  <w:style w:type="character" w:styleId="33" w:customStyle="1">
    <w:name w:val="スタイル1 (文字)"/>
    <w:basedOn w:val="21"/>
    <w:next w:val="33"/>
    <w:link w:val="32"/>
    <w:uiPriority w:val="0"/>
    <w:rPr>
      <w:rFonts w:asciiTheme="majorEastAsia" w:hAnsiTheme="majorEastAsia" w:eastAsiaTheme="majorEastAsia"/>
    </w:rPr>
  </w:style>
  <w:style w:type="character" w:styleId="34">
    <w:name w:val="footnote reference"/>
    <w:basedOn w:val="10"/>
    <w:next w:val="34"/>
    <w:link w:val="0"/>
    <w:uiPriority w:val="0"/>
    <w:semiHidden/>
    <w:rPr>
      <w:vertAlign w:val="superscript"/>
    </w:rPr>
  </w:style>
  <w:style w:type="character" w:styleId="35">
    <w:name w:val="endnote reference"/>
    <w:basedOn w:val="10"/>
    <w:next w:val="35"/>
    <w:link w:val="0"/>
    <w:uiPriority w:val="0"/>
    <w:semiHidden/>
    <w:rPr>
      <w:vertAlign w:val="superscript"/>
    </w:rPr>
  </w:style>
  <w:style w:type="table" w:styleId="36" w:customStyle="1">
    <w:name w:val="TableGrid"/>
    <w:basedOn w:val="11"/>
    <w:next w:val="36"/>
    <w:link w:val="0"/>
    <w:uiPriority w:val="0"/>
    <w:tblPr>
      <w:tblStyleRowBandSize w:val="1"/>
      <w:tblStyleColBandSize w:val="1"/>
      <w:tblCellMar>
        <w:top w:w="0" w:type="dxa"/>
        <w:bottom w:w="0" w:type="dxa"/>
        <w:left w:w="0" w:type="dxa"/>
        <w:right w:w="0" w:type="dxa"/>
      </w:tblCellMar>
    </w:tblPr>
    <w:trPr/>
    <w:tc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287</TotalTime>
  <Pages>2</Pages>
  <Words>11</Words>
  <Characters>351</Characters>
  <Application>JUST Note</Application>
  <Lines>45</Lines>
  <Paragraphs>20</Paragraphs>
  <CharactersWithSpaces>366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2022-08-30T04:18:00Z</cp:lastPrinted>
  <dcterms:created xsi:type="dcterms:W3CDTF">2022-08-31T05:41:00Z</dcterms:created>
  <dcterms:modified xsi:type="dcterms:W3CDTF">2026-03-02T07:36:19Z</dcterms:modified>
  <cp:revision>6</cp:revision>
</cp:coreProperties>
</file>