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kern w:val="0"/>
          <w:sz w:val="24"/>
        </w:rPr>
      </w:pPr>
      <w:r>
        <w:rPr>
          <w:rFonts w:hint="eastAsia"/>
          <w:kern w:val="0"/>
          <w:sz w:val="24"/>
        </w:rPr>
        <w:t>令和　　年　　月　　日</w:t>
      </w:r>
    </w:p>
    <w:p>
      <w:pPr>
        <w:pStyle w:val="0"/>
        <w:jc w:val="center"/>
        <w:rPr>
          <w:rFonts w:hint="default"/>
          <w:sz w:val="24"/>
        </w:rPr>
      </w:pPr>
    </w:p>
    <w:p>
      <w:pPr>
        <w:pStyle w:val="0"/>
        <w:jc w:val="center"/>
        <w:rPr>
          <w:rFonts w:hint="default"/>
          <w:sz w:val="24"/>
        </w:rPr>
      </w:pPr>
      <w:r>
        <w:rPr>
          <w:rFonts w:hint="eastAsia"/>
          <w:sz w:val="24"/>
        </w:rPr>
        <w:t>別段面積及び区域の指定申請書</w:t>
      </w:r>
    </w:p>
    <w:p>
      <w:pPr>
        <w:pStyle w:val="0"/>
        <w:jc w:val="center"/>
        <w:rPr>
          <w:rFonts w:hint="default"/>
          <w:sz w:val="24"/>
        </w:rPr>
      </w:pPr>
    </w:p>
    <w:p>
      <w:pPr>
        <w:pStyle w:val="0"/>
        <w:jc w:val="left"/>
        <w:rPr>
          <w:rFonts w:hint="default"/>
          <w:sz w:val="24"/>
        </w:rPr>
      </w:pPr>
      <w:r>
        <w:rPr>
          <w:rFonts w:hint="eastAsia"/>
          <w:sz w:val="24"/>
        </w:rPr>
        <w:t>五所川原市農業委員会</w:t>
      </w:r>
    </w:p>
    <w:p>
      <w:pPr>
        <w:pStyle w:val="0"/>
        <w:jc w:val="left"/>
        <w:rPr>
          <w:rFonts w:hint="default"/>
          <w:sz w:val="24"/>
        </w:rPr>
      </w:pPr>
      <w:r>
        <w:rPr>
          <w:rFonts w:hint="eastAsia"/>
          <w:sz w:val="24"/>
        </w:rPr>
        <w:t>会　長　　森　　義　博　　殿</w:t>
      </w:r>
    </w:p>
    <w:p>
      <w:pPr>
        <w:pStyle w:val="0"/>
        <w:jc w:val="left"/>
        <w:rPr>
          <w:rFonts w:hint="default"/>
          <w:sz w:val="24"/>
        </w:rPr>
      </w:pPr>
    </w:p>
    <w:p>
      <w:pPr>
        <w:pStyle w:val="0"/>
        <w:ind w:firstLine="3840" w:firstLineChars="1600"/>
        <w:jc w:val="left"/>
        <w:rPr>
          <w:rFonts w:hint="default"/>
          <w:sz w:val="24"/>
          <w:u w:val="single" w:color="auto"/>
        </w:rPr>
      </w:pPr>
      <w:r>
        <w:rPr>
          <w:rFonts w:hint="eastAsia"/>
          <w:sz w:val="24"/>
        </w:rPr>
        <w:t>住所</w:t>
      </w:r>
      <w:r>
        <w:rPr>
          <w:rFonts w:hint="eastAsia"/>
          <w:sz w:val="24"/>
          <w:u w:val="single" w:color="auto"/>
        </w:rPr>
        <w:t>　　　　　　　　　　　　　　　　　　</w:t>
      </w:r>
    </w:p>
    <w:p>
      <w:pPr>
        <w:pStyle w:val="0"/>
        <w:spacing w:line="480" w:lineRule="auto"/>
        <w:ind w:firstLine="3840" w:firstLineChars="1600"/>
        <w:jc w:val="left"/>
        <w:rPr>
          <w:rFonts w:hint="default"/>
          <w:sz w:val="24"/>
        </w:rPr>
      </w:pPr>
      <w:r>
        <w:rPr>
          <w:rFonts w:hint="eastAsia"/>
          <w:sz w:val="24"/>
        </w:rPr>
        <w:t>氏名</w:t>
      </w:r>
      <w:r>
        <w:rPr>
          <w:rFonts w:hint="eastAsia"/>
          <w:sz w:val="24"/>
          <w:u w:val="single" w:color="auto"/>
        </w:rPr>
        <w:t>　　　　　　　　　　　　　　　　　　</w:t>
      </w:r>
    </w:p>
    <w:p>
      <w:pPr>
        <w:pStyle w:val="0"/>
        <w:jc w:val="left"/>
        <w:rPr>
          <w:rFonts w:hint="default"/>
          <w:sz w:val="24"/>
        </w:rPr>
      </w:pPr>
    </w:p>
    <w:p>
      <w:pPr>
        <w:pStyle w:val="0"/>
        <w:ind w:firstLine="240" w:firstLineChars="100"/>
        <w:jc w:val="left"/>
        <w:rPr>
          <w:rFonts w:hint="default"/>
          <w:sz w:val="24"/>
        </w:rPr>
      </w:pPr>
      <w:r>
        <w:rPr>
          <w:rFonts w:hint="eastAsia"/>
          <w:sz w:val="24"/>
        </w:rPr>
        <w:t>空き家バンク登録物件に付随した下記の農地について、農地法第３条第２項第５号に規定する別段面積（１㎡）の指定を受けたいので申請します。</w:t>
      </w:r>
    </w:p>
    <w:p>
      <w:pPr>
        <w:pStyle w:val="0"/>
        <w:ind w:firstLine="240" w:firstLineChars="100"/>
        <w:jc w:val="left"/>
        <w:rPr>
          <w:rFonts w:hint="default"/>
          <w:sz w:val="24"/>
        </w:rPr>
      </w:pPr>
    </w:p>
    <w:p>
      <w:pPr>
        <w:pStyle w:val="0"/>
        <w:ind w:firstLine="240" w:firstLineChars="100"/>
        <w:jc w:val="left"/>
        <w:rPr>
          <w:rFonts w:hint="default"/>
          <w:sz w:val="24"/>
          <w:u w:val="single" w:color="auto"/>
        </w:rPr>
      </w:pPr>
      <w:r>
        <w:rPr>
          <w:rFonts w:hint="eastAsia"/>
          <w:sz w:val="24"/>
          <w:u w:val="single" w:color="auto"/>
        </w:rPr>
        <w:t>空き家の所在地：　　　　　　　　　　　　　　　　　　　　　　　　　　　　　</w:t>
      </w:r>
    </w:p>
    <w:p>
      <w:pPr>
        <w:pStyle w:val="0"/>
        <w:spacing w:line="480" w:lineRule="auto"/>
        <w:ind w:firstLine="240" w:firstLineChars="100"/>
        <w:jc w:val="left"/>
        <w:rPr>
          <w:rFonts w:hint="default"/>
          <w:sz w:val="24"/>
          <w:u w:val="single" w:color="auto"/>
        </w:rPr>
      </w:pPr>
      <w:r>
        <w:rPr>
          <w:rFonts w:hint="eastAsia"/>
          <w:sz w:val="24"/>
          <w:u w:val="single" w:color="auto"/>
        </w:rPr>
        <w:t>空き家の所有者：　　　　　　　　　　　　　　　　　　　　　　　　　　　　　</w:t>
      </w:r>
    </w:p>
    <w:tbl>
      <w:tblPr>
        <w:tblStyle w:val="28"/>
        <w:tblW w:w="9606" w:type="dxa"/>
        <w:tblInd w:w="0" w:type="dxa"/>
        <w:tblLayout w:type="fixed"/>
        <w:tblLook w:firstRow="1" w:lastRow="0" w:firstColumn="1" w:lastColumn="0" w:noHBand="0" w:noVBand="1" w:val="04A0"/>
      </w:tblPr>
      <w:tblGrid>
        <w:gridCol w:w="1101"/>
        <w:gridCol w:w="1275"/>
        <w:gridCol w:w="1418"/>
        <w:gridCol w:w="1276"/>
        <w:gridCol w:w="1842"/>
        <w:gridCol w:w="2694"/>
      </w:tblGrid>
      <w:tr>
        <w:trPr/>
        <w:tc>
          <w:tcPr>
            <w:tcW w:w="3794" w:type="dxa"/>
            <w:gridSpan w:val="3"/>
            <w:vAlign w:val="top"/>
          </w:tcPr>
          <w:p>
            <w:pPr>
              <w:pStyle w:val="0"/>
              <w:jc w:val="center"/>
              <w:rPr>
                <w:rFonts w:hint="default"/>
                <w:sz w:val="24"/>
              </w:rPr>
            </w:pPr>
            <w:r>
              <w:rPr>
                <w:rFonts w:hint="eastAsia"/>
                <w:sz w:val="24"/>
              </w:rPr>
              <w:t>農地の所在（五所川原市）</w:t>
            </w:r>
          </w:p>
        </w:tc>
        <w:tc>
          <w:tcPr>
            <w:tcW w:w="1276" w:type="dxa"/>
            <w:vMerge w:val="restart"/>
            <w:vAlign w:val="top"/>
          </w:tcPr>
          <w:p>
            <w:pPr>
              <w:pStyle w:val="0"/>
              <w:spacing w:line="480" w:lineRule="auto"/>
              <w:jc w:val="left"/>
              <w:rPr>
                <w:rFonts w:hint="default"/>
                <w:sz w:val="24"/>
              </w:rPr>
            </w:pPr>
            <w:r>
              <w:rPr>
                <w:rFonts w:hint="eastAsia"/>
                <w:sz w:val="24"/>
              </w:rPr>
              <w:t>面積（㎡）</w:t>
            </w:r>
          </w:p>
        </w:tc>
        <w:tc>
          <w:tcPr>
            <w:tcW w:w="1842" w:type="dxa"/>
            <w:vMerge w:val="restart"/>
            <w:vAlign w:val="top"/>
          </w:tcPr>
          <w:p>
            <w:pPr>
              <w:pStyle w:val="0"/>
              <w:spacing w:line="480" w:lineRule="auto"/>
              <w:jc w:val="left"/>
              <w:rPr>
                <w:rFonts w:hint="default"/>
                <w:sz w:val="24"/>
              </w:rPr>
            </w:pPr>
            <w:r>
              <w:rPr>
                <w:rFonts w:hint="eastAsia"/>
                <w:sz w:val="24"/>
              </w:rPr>
              <w:t>農地の所有者</w:t>
            </w:r>
          </w:p>
        </w:tc>
        <w:tc>
          <w:tcPr>
            <w:tcW w:w="2694" w:type="dxa"/>
            <w:vMerge w:val="restart"/>
            <w:vAlign w:val="top"/>
          </w:tcPr>
          <w:p>
            <w:pPr>
              <w:pStyle w:val="0"/>
              <w:spacing w:line="480" w:lineRule="auto"/>
              <w:jc w:val="left"/>
              <w:rPr>
                <w:rFonts w:hint="default"/>
                <w:sz w:val="24"/>
              </w:rPr>
            </w:pPr>
            <w:r>
              <w:rPr>
                <w:rFonts w:hint="eastAsia"/>
                <w:sz w:val="24"/>
              </w:rPr>
              <w:t>売買等の条件など記入</w:t>
            </w:r>
          </w:p>
        </w:tc>
      </w:tr>
      <w:tr>
        <w:trPr/>
        <w:tc>
          <w:tcPr>
            <w:tcW w:w="1101" w:type="dxa"/>
            <w:vAlign w:val="top"/>
          </w:tcPr>
          <w:p>
            <w:pPr>
              <w:pStyle w:val="0"/>
              <w:jc w:val="center"/>
              <w:rPr>
                <w:rFonts w:hint="default"/>
                <w:sz w:val="24"/>
              </w:rPr>
            </w:pPr>
            <w:r>
              <w:rPr>
                <w:rFonts w:hint="eastAsia"/>
                <w:sz w:val="24"/>
              </w:rPr>
              <w:t>大字</w:t>
            </w:r>
          </w:p>
        </w:tc>
        <w:tc>
          <w:tcPr>
            <w:tcW w:w="1275" w:type="dxa"/>
            <w:vAlign w:val="top"/>
          </w:tcPr>
          <w:p>
            <w:pPr>
              <w:pStyle w:val="0"/>
              <w:jc w:val="center"/>
              <w:rPr>
                <w:rFonts w:hint="default"/>
                <w:sz w:val="24"/>
              </w:rPr>
            </w:pPr>
            <w:r>
              <w:rPr>
                <w:rFonts w:hint="eastAsia"/>
                <w:sz w:val="24"/>
              </w:rPr>
              <w:t>小字</w:t>
            </w:r>
          </w:p>
        </w:tc>
        <w:tc>
          <w:tcPr>
            <w:tcW w:w="1418" w:type="dxa"/>
            <w:vAlign w:val="top"/>
          </w:tcPr>
          <w:p>
            <w:pPr>
              <w:pStyle w:val="0"/>
              <w:jc w:val="center"/>
              <w:rPr>
                <w:rFonts w:hint="default"/>
                <w:sz w:val="24"/>
              </w:rPr>
            </w:pPr>
            <w:r>
              <w:rPr>
                <w:rFonts w:hint="eastAsia"/>
                <w:sz w:val="24"/>
              </w:rPr>
              <w:t>地番</w:t>
            </w:r>
          </w:p>
        </w:tc>
        <w:tc>
          <w:tcPr>
            <w:tcW w:w="1276" w:type="dxa"/>
            <w:vMerge w:val="continue"/>
            <w:vAlign w:val="top"/>
          </w:tcPr>
          <w:p>
            <w:pPr>
              <w:pStyle w:val="0"/>
              <w:rPr>
                <w:rFonts w:hint="default"/>
                <w:sz w:val="24"/>
              </w:rPr>
            </w:pPr>
          </w:p>
        </w:tc>
        <w:tc>
          <w:tcPr>
            <w:tcW w:w="1842" w:type="dxa"/>
            <w:vMerge w:val="continue"/>
            <w:vAlign w:val="top"/>
          </w:tcPr>
          <w:p>
            <w:pPr>
              <w:pStyle w:val="0"/>
              <w:rPr>
                <w:rFonts w:hint="default"/>
                <w:sz w:val="24"/>
              </w:rPr>
            </w:pPr>
          </w:p>
        </w:tc>
        <w:tc>
          <w:tcPr>
            <w:tcW w:w="2694" w:type="dxa"/>
            <w:vMerge w:val="continue"/>
            <w:vAlign w:val="top"/>
          </w:tcPr>
          <w:p>
            <w:pPr>
              <w:pStyle w:val="0"/>
              <w:rPr>
                <w:rFonts w:hint="default"/>
                <w:sz w:val="24"/>
              </w:rPr>
            </w:pPr>
          </w:p>
        </w:tc>
      </w:tr>
      <w:tr>
        <w:trPr/>
        <w:tc>
          <w:tcPr>
            <w:tcW w:w="1101" w:type="dxa"/>
            <w:vAlign w:val="center"/>
          </w:tcPr>
          <w:p>
            <w:pPr>
              <w:pStyle w:val="0"/>
              <w:spacing w:line="360" w:lineRule="auto"/>
              <w:jc w:val="center"/>
              <w:rPr>
                <w:rFonts w:hint="default"/>
                <w:sz w:val="24"/>
              </w:rPr>
            </w:pPr>
          </w:p>
        </w:tc>
        <w:tc>
          <w:tcPr>
            <w:tcW w:w="1275" w:type="dxa"/>
            <w:vAlign w:val="center"/>
          </w:tcPr>
          <w:p>
            <w:pPr>
              <w:pStyle w:val="0"/>
              <w:jc w:val="center"/>
              <w:rPr>
                <w:rFonts w:hint="default"/>
                <w:sz w:val="24"/>
              </w:rPr>
            </w:pPr>
          </w:p>
        </w:tc>
        <w:tc>
          <w:tcPr>
            <w:tcW w:w="1418" w:type="dxa"/>
            <w:vAlign w:val="center"/>
          </w:tcPr>
          <w:p>
            <w:pPr>
              <w:pStyle w:val="0"/>
              <w:jc w:val="center"/>
              <w:rPr>
                <w:rFonts w:hint="default"/>
                <w:sz w:val="24"/>
              </w:rPr>
            </w:pPr>
          </w:p>
        </w:tc>
        <w:tc>
          <w:tcPr>
            <w:tcW w:w="1276" w:type="dxa"/>
            <w:vAlign w:val="center"/>
          </w:tcPr>
          <w:p>
            <w:pPr>
              <w:pStyle w:val="0"/>
              <w:ind w:right="210" w:rightChars="100"/>
              <w:jc w:val="right"/>
              <w:rPr>
                <w:rFonts w:hint="default"/>
                <w:sz w:val="24"/>
              </w:rPr>
            </w:pPr>
          </w:p>
        </w:tc>
        <w:tc>
          <w:tcPr>
            <w:tcW w:w="1842" w:type="dxa"/>
            <w:vAlign w:val="center"/>
          </w:tcPr>
          <w:p>
            <w:pPr>
              <w:pStyle w:val="0"/>
              <w:jc w:val="center"/>
              <w:rPr>
                <w:rFonts w:hint="default"/>
                <w:sz w:val="24"/>
              </w:rPr>
            </w:pPr>
            <w:bookmarkStart w:id="0" w:name="_GoBack"/>
            <w:bookmarkEnd w:id="0"/>
          </w:p>
        </w:tc>
        <w:tc>
          <w:tcPr>
            <w:tcW w:w="2694" w:type="dxa"/>
            <w:vAlign w:val="top"/>
          </w:tcPr>
          <w:p>
            <w:pPr>
              <w:pStyle w:val="0"/>
              <w:jc w:val="left"/>
              <w:rPr>
                <w:rFonts w:hint="default"/>
                <w:sz w:val="24"/>
              </w:rPr>
            </w:pPr>
          </w:p>
        </w:tc>
      </w:tr>
      <w:tr>
        <w:trPr/>
        <w:tc>
          <w:tcPr>
            <w:tcW w:w="1101" w:type="dxa"/>
            <w:vAlign w:val="center"/>
          </w:tcPr>
          <w:p>
            <w:pPr>
              <w:pStyle w:val="0"/>
              <w:spacing w:line="360" w:lineRule="auto"/>
              <w:jc w:val="center"/>
              <w:rPr>
                <w:rFonts w:hint="default"/>
                <w:sz w:val="24"/>
              </w:rPr>
            </w:pPr>
          </w:p>
        </w:tc>
        <w:tc>
          <w:tcPr>
            <w:tcW w:w="1275" w:type="dxa"/>
            <w:vAlign w:val="center"/>
          </w:tcPr>
          <w:p>
            <w:pPr>
              <w:pStyle w:val="0"/>
              <w:jc w:val="center"/>
              <w:rPr>
                <w:rFonts w:hint="default"/>
                <w:sz w:val="24"/>
              </w:rPr>
            </w:pPr>
          </w:p>
        </w:tc>
        <w:tc>
          <w:tcPr>
            <w:tcW w:w="1418" w:type="dxa"/>
            <w:vAlign w:val="center"/>
          </w:tcPr>
          <w:p>
            <w:pPr>
              <w:pStyle w:val="0"/>
              <w:jc w:val="center"/>
              <w:rPr>
                <w:rFonts w:hint="default"/>
                <w:sz w:val="24"/>
              </w:rPr>
            </w:pPr>
          </w:p>
        </w:tc>
        <w:tc>
          <w:tcPr>
            <w:tcW w:w="1276" w:type="dxa"/>
            <w:vAlign w:val="center"/>
          </w:tcPr>
          <w:p>
            <w:pPr>
              <w:pStyle w:val="0"/>
              <w:jc w:val="right"/>
              <w:rPr>
                <w:rFonts w:hint="default"/>
                <w:sz w:val="24"/>
              </w:rPr>
            </w:pPr>
          </w:p>
        </w:tc>
        <w:tc>
          <w:tcPr>
            <w:tcW w:w="1842" w:type="dxa"/>
            <w:vAlign w:val="center"/>
          </w:tcPr>
          <w:p>
            <w:pPr>
              <w:pStyle w:val="0"/>
              <w:jc w:val="center"/>
              <w:rPr>
                <w:rFonts w:hint="default"/>
                <w:sz w:val="24"/>
              </w:rPr>
            </w:pPr>
          </w:p>
        </w:tc>
        <w:tc>
          <w:tcPr>
            <w:tcW w:w="2694" w:type="dxa"/>
            <w:vAlign w:val="top"/>
          </w:tcPr>
          <w:p>
            <w:pPr>
              <w:pStyle w:val="0"/>
              <w:jc w:val="left"/>
              <w:rPr>
                <w:rFonts w:hint="default"/>
                <w:sz w:val="24"/>
              </w:rPr>
            </w:pPr>
          </w:p>
        </w:tc>
      </w:tr>
      <w:tr>
        <w:trPr/>
        <w:tc>
          <w:tcPr>
            <w:tcW w:w="1101" w:type="dxa"/>
            <w:vAlign w:val="top"/>
          </w:tcPr>
          <w:p>
            <w:pPr>
              <w:pStyle w:val="0"/>
              <w:spacing w:line="360" w:lineRule="auto"/>
              <w:jc w:val="left"/>
              <w:rPr>
                <w:rFonts w:hint="default"/>
                <w:sz w:val="24"/>
              </w:rPr>
            </w:pPr>
          </w:p>
        </w:tc>
        <w:tc>
          <w:tcPr>
            <w:tcW w:w="1275" w:type="dxa"/>
            <w:vAlign w:val="top"/>
          </w:tcPr>
          <w:p>
            <w:pPr>
              <w:pStyle w:val="0"/>
              <w:jc w:val="left"/>
              <w:rPr>
                <w:rFonts w:hint="default"/>
                <w:sz w:val="24"/>
              </w:rPr>
            </w:pPr>
          </w:p>
        </w:tc>
        <w:tc>
          <w:tcPr>
            <w:tcW w:w="1418" w:type="dxa"/>
            <w:vAlign w:val="top"/>
          </w:tcPr>
          <w:p>
            <w:pPr>
              <w:pStyle w:val="0"/>
              <w:jc w:val="left"/>
              <w:rPr>
                <w:rFonts w:hint="default"/>
                <w:sz w:val="24"/>
              </w:rPr>
            </w:pPr>
          </w:p>
        </w:tc>
        <w:tc>
          <w:tcPr>
            <w:tcW w:w="1276" w:type="dxa"/>
            <w:vAlign w:val="top"/>
          </w:tcPr>
          <w:p>
            <w:pPr>
              <w:pStyle w:val="0"/>
              <w:jc w:val="left"/>
              <w:rPr>
                <w:rFonts w:hint="default"/>
                <w:sz w:val="24"/>
              </w:rPr>
            </w:pPr>
          </w:p>
        </w:tc>
        <w:tc>
          <w:tcPr>
            <w:tcW w:w="1842" w:type="dxa"/>
            <w:vAlign w:val="top"/>
          </w:tcPr>
          <w:p>
            <w:pPr>
              <w:pStyle w:val="0"/>
              <w:jc w:val="left"/>
              <w:rPr>
                <w:rFonts w:hint="default"/>
                <w:sz w:val="24"/>
              </w:rPr>
            </w:pPr>
          </w:p>
        </w:tc>
        <w:tc>
          <w:tcPr>
            <w:tcW w:w="2694" w:type="dxa"/>
            <w:vAlign w:val="top"/>
          </w:tcPr>
          <w:p>
            <w:pPr>
              <w:pStyle w:val="0"/>
              <w:jc w:val="left"/>
              <w:rPr>
                <w:rFonts w:hint="default"/>
                <w:sz w:val="24"/>
              </w:rPr>
            </w:pPr>
          </w:p>
        </w:tc>
      </w:tr>
      <w:tr>
        <w:trPr/>
        <w:tc>
          <w:tcPr>
            <w:tcW w:w="1101" w:type="dxa"/>
            <w:vAlign w:val="top"/>
          </w:tcPr>
          <w:p>
            <w:pPr>
              <w:pStyle w:val="0"/>
              <w:spacing w:line="360" w:lineRule="auto"/>
              <w:jc w:val="left"/>
              <w:rPr>
                <w:rFonts w:hint="default"/>
                <w:sz w:val="24"/>
              </w:rPr>
            </w:pPr>
          </w:p>
        </w:tc>
        <w:tc>
          <w:tcPr>
            <w:tcW w:w="1275" w:type="dxa"/>
            <w:vAlign w:val="top"/>
          </w:tcPr>
          <w:p>
            <w:pPr>
              <w:pStyle w:val="0"/>
              <w:jc w:val="left"/>
              <w:rPr>
                <w:rFonts w:hint="default"/>
                <w:sz w:val="24"/>
              </w:rPr>
            </w:pPr>
          </w:p>
        </w:tc>
        <w:tc>
          <w:tcPr>
            <w:tcW w:w="1418" w:type="dxa"/>
            <w:vAlign w:val="top"/>
          </w:tcPr>
          <w:p>
            <w:pPr>
              <w:pStyle w:val="0"/>
              <w:jc w:val="left"/>
              <w:rPr>
                <w:rFonts w:hint="default"/>
                <w:sz w:val="24"/>
              </w:rPr>
            </w:pPr>
          </w:p>
        </w:tc>
        <w:tc>
          <w:tcPr>
            <w:tcW w:w="1276" w:type="dxa"/>
            <w:vAlign w:val="top"/>
          </w:tcPr>
          <w:p>
            <w:pPr>
              <w:pStyle w:val="0"/>
              <w:jc w:val="left"/>
              <w:rPr>
                <w:rFonts w:hint="default"/>
                <w:sz w:val="24"/>
              </w:rPr>
            </w:pPr>
          </w:p>
        </w:tc>
        <w:tc>
          <w:tcPr>
            <w:tcW w:w="1842" w:type="dxa"/>
            <w:vAlign w:val="top"/>
          </w:tcPr>
          <w:p>
            <w:pPr>
              <w:pStyle w:val="0"/>
              <w:jc w:val="left"/>
              <w:rPr>
                <w:rFonts w:hint="default"/>
                <w:sz w:val="24"/>
              </w:rPr>
            </w:pPr>
          </w:p>
        </w:tc>
        <w:tc>
          <w:tcPr>
            <w:tcW w:w="2694" w:type="dxa"/>
            <w:vAlign w:val="top"/>
          </w:tcPr>
          <w:p>
            <w:pPr>
              <w:pStyle w:val="0"/>
              <w:jc w:val="left"/>
              <w:rPr>
                <w:rFonts w:hint="default"/>
                <w:sz w:val="24"/>
              </w:rPr>
            </w:pPr>
          </w:p>
        </w:tc>
      </w:tr>
    </w:tbl>
    <w:p>
      <w:pPr>
        <w:pStyle w:val="0"/>
        <w:jc w:val="left"/>
        <w:rPr>
          <w:rFonts w:hint="default"/>
          <w:sz w:val="24"/>
        </w:rPr>
      </w:pPr>
    </w:p>
    <w:p>
      <w:pPr>
        <w:pStyle w:val="0"/>
        <w:jc w:val="left"/>
        <w:rPr>
          <w:rFonts w:hint="default"/>
          <w:sz w:val="24"/>
        </w:rPr>
      </w:pPr>
      <w:r>
        <w:rPr>
          <w:rFonts w:hint="eastAsia"/>
          <w:sz w:val="24"/>
        </w:rPr>
        <w:t>【連絡・照会先】</w:t>
      </w:r>
    </w:p>
    <w:p>
      <w:pPr>
        <w:pStyle w:val="0"/>
        <w:jc w:val="left"/>
        <w:rPr>
          <w:rFonts w:hint="default"/>
          <w:sz w:val="24"/>
          <w:u w:val="single" w:color="auto"/>
        </w:rPr>
      </w:pPr>
      <w:r>
        <w:rPr>
          <w:rFonts w:hint="eastAsia"/>
          <w:sz w:val="24"/>
        </w:rPr>
        <w:t>　　</w:t>
      </w:r>
      <w:r>
        <w:rPr>
          <w:rFonts w:hint="eastAsia"/>
          <w:sz w:val="24"/>
          <w:u w:val="single" w:color="auto"/>
        </w:rPr>
        <w:t>住　　所：　　　　　　　　　　　　　　　　　　　　　　　　</w:t>
      </w:r>
    </w:p>
    <w:p>
      <w:pPr>
        <w:pStyle w:val="0"/>
        <w:spacing w:line="276" w:lineRule="auto"/>
        <w:jc w:val="left"/>
        <w:rPr>
          <w:rFonts w:hint="default"/>
          <w:sz w:val="24"/>
          <w:u w:val="single" w:color="auto"/>
        </w:rPr>
      </w:pPr>
      <w:r>
        <w:rPr>
          <w:rFonts w:hint="eastAsia"/>
          <w:sz w:val="24"/>
        </w:rPr>
        <w:t>　　</w:t>
      </w:r>
      <w:r>
        <w:rPr>
          <w:rFonts w:hint="eastAsia"/>
          <w:sz w:val="24"/>
          <w:u w:val="single" w:color="auto"/>
        </w:rPr>
        <w:t>氏　　名：　　　　　　　　　　　　　　　　　　　　　　　　</w:t>
      </w:r>
    </w:p>
    <w:p>
      <w:pPr>
        <w:pStyle w:val="0"/>
        <w:spacing w:line="276" w:lineRule="auto"/>
        <w:jc w:val="left"/>
        <w:rPr>
          <w:rFonts w:hint="default"/>
          <w:sz w:val="24"/>
          <w:u w:val="single" w:color="auto"/>
        </w:rPr>
      </w:pPr>
      <w:r>
        <w:rPr>
          <w:rFonts w:hint="eastAsia"/>
          <w:sz w:val="24"/>
        </w:rPr>
        <w:t>　　</w:t>
      </w:r>
      <w:r>
        <w:rPr>
          <w:rFonts w:hint="eastAsia"/>
          <w:sz w:val="24"/>
          <w:u w:val="single" w:color="auto"/>
        </w:rPr>
        <w:t>電話番号：　　　　　　　　　　　　　　　　　　　　　　　　</w:t>
      </w:r>
    </w:p>
    <w:p>
      <w:pPr>
        <w:pStyle w:val="0"/>
        <w:jc w:val="left"/>
        <w:rPr>
          <w:rFonts w:hint="default"/>
          <w:sz w:val="24"/>
        </w:rPr>
      </w:pPr>
      <w:r>
        <w:rPr>
          <w:rFonts w:hint="eastAsia"/>
          <w:sz w:val="24"/>
        </w:rPr>
        <w:t>【誓約事項】</w:t>
      </w:r>
    </w:p>
    <w:p>
      <w:pPr>
        <w:pStyle w:val="0"/>
        <w:ind w:left="240" w:hanging="240" w:hangingChars="100"/>
        <w:jc w:val="left"/>
        <w:rPr>
          <w:rFonts w:hint="default"/>
          <w:sz w:val="24"/>
        </w:rPr>
      </w:pPr>
      <w:r>
        <w:rPr>
          <w:rFonts w:hint="eastAsia"/>
          <w:sz w:val="24"/>
        </w:rPr>
        <w:t>　　農地法第３条第２項第５号に規定する別段面積（１㎡）の指定を受けた後の売買については、空き家バンクに登録した空き家と一括で購入する者への売買にのみ適用されることを確認しています。対象者以外と売買を行なう場合は、取り消しを受けても異議はありません。</w:t>
      </w:r>
    </w:p>
    <w:p>
      <w:pPr>
        <w:pStyle w:val="0"/>
        <w:ind w:left="240" w:hanging="240" w:hangingChars="100"/>
        <w:jc w:val="left"/>
        <w:rPr>
          <w:rFonts w:hint="default"/>
          <w:sz w:val="24"/>
        </w:rPr>
      </w:pPr>
      <w:r>
        <w:rPr>
          <w:rFonts w:hint="eastAsia"/>
          <w:sz w:val="24"/>
        </w:rPr>
        <w:t>【添付書類】空き家バンク登録完了証（土地登記事項証明書、公図、位置図を添付）</w:t>
      </w:r>
    </w:p>
    <w:p>
      <w:pPr>
        <w:pStyle w:val="0"/>
        <w:jc w:val="left"/>
        <w:rPr>
          <w:rFonts w:hint="default"/>
          <w:sz w:val="24"/>
        </w:rPr>
      </w:pPr>
      <w:r>
        <w:rPr>
          <w:rFonts w:hint="eastAsia"/>
          <w:sz w:val="24"/>
        </w:rPr>
        <w:t>　</w:t>
      </w:r>
    </w:p>
    <w:p>
      <w:pPr>
        <w:pStyle w:val="0"/>
        <w:jc w:val="right"/>
        <w:rPr>
          <w:rFonts w:hint="default"/>
          <w:sz w:val="24"/>
        </w:rPr>
      </w:pPr>
      <w:r>
        <w:rPr>
          <w:rFonts w:hint="eastAsia"/>
          <w:sz w:val="24"/>
        </w:rPr>
        <w:t>※裏面もご確認ください。</w:t>
      </w:r>
    </w:p>
    <w:p>
      <w:pPr>
        <w:pStyle w:val="0"/>
        <w:jc w:val="left"/>
        <w:rPr>
          <w:rFonts w:hint="default"/>
          <w:sz w:val="24"/>
        </w:rPr>
      </w:pPr>
      <w:r>
        <w:rPr>
          <w:rFonts w:hint="eastAsia"/>
          <w:sz w:val="24"/>
        </w:rPr>
        <w:t>【指定できる条件】</w:t>
      </w:r>
    </w:p>
    <w:p>
      <w:pPr>
        <w:pStyle w:val="0"/>
        <w:ind w:left="240" w:hanging="240" w:hangingChars="100"/>
        <w:jc w:val="left"/>
        <w:rPr>
          <w:rFonts w:hint="default"/>
          <w:sz w:val="24"/>
        </w:rPr>
      </w:pPr>
      <w:r>
        <w:rPr>
          <w:rFonts w:hint="eastAsia"/>
          <w:sz w:val="24"/>
        </w:rPr>
        <w:t>　　空き家バンクに登録された空き家の所有者が所有する遊休農地で、以下の農地に該当しないこと</w:t>
      </w:r>
    </w:p>
    <w:p>
      <w:pPr>
        <w:pStyle w:val="0"/>
        <w:ind w:left="240" w:hanging="240" w:hangingChars="100"/>
        <w:jc w:val="left"/>
        <w:rPr>
          <w:rFonts w:hint="default"/>
          <w:sz w:val="24"/>
        </w:rPr>
      </w:pPr>
      <w:r>
        <w:rPr>
          <w:rFonts w:hint="eastAsia"/>
          <w:sz w:val="24"/>
        </w:rPr>
        <w:t>　　①賃貸借、地上権等が設定されている農地</w:t>
      </w:r>
    </w:p>
    <w:p>
      <w:pPr>
        <w:pStyle w:val="0"/>
        <w:ind w:left="240" w:hanging="240" w:hangingChars="100"/>
        <w:jc w:val="left"/>
        <w:rPr>
          <w:rFonts w:hint="default"/>
          <w:sz w:val="24"/>
        </w:rPr>
      </w:pPr>
      <w:r>
        <w:rPr>
          <w:rFonts w:hint="eastAsia"/>
          <w:sz w:val="24"/>
        </w:rPr>
        <w:t>　　②利用権が設定されている農地</w:t>
      </w:r>
    </w:p>
    <w:p>
      <w:pPr>
        <w:pStyle w:val="0"/>
        <w:ind w:left="240" w:hanging="240" w:hangingChars="100"/>
        <w:jc w:val="left"/>
        <w:rPr>
          <w:rFonts w:hint="default"/>
          <w:sz w:val="24"/>
        </w:rPr>
      </w:pPr>
      <w:r>
        <w:rPr>
          <w:rFonts w:hint="eastAsia"/>
          <w:sz w:val="24"/>
        </w:rPr>
        <w:t>　　③農地中間管理権が設定されている農地</w:t>
      </w:r>
    </w:p>
    <w:p>
      <w:pPr>
        <w:pStyle w:val="0"/>
        <w:ind w:left="240" w:hanging="240" w:hangingChars="100"/>
        <w:jc w:val="left"/>
        <w:rPr>
          <w:rFonts w:hint="default"/>
          <w:sz w:val="24"/>
        </w:rPr>
      </w:pPr>
      <w:r>
        <w:rPr>
          <w:rFonts w:hint="eastAsia"/>
          <w:sz w:val="24"/>
        </w:rPr>
        <w:t>　　④作業受委託契約されている農地</w:t>
      </w:r>
    </w:p>
    <w:p>
      <w:pPr>
        <w:pStyle w:val="0"/>
        <w:ind w:left="720" w:hanging="720" w:hangingChars="300"/>
        <w:jc w:val="left"/>
        <w:rPr>
          <w:rFonts w:hint="default"/>
          <w:sz w:val="24"/>
        </w:rPr>
      </w:pPr>
      <w:r>
        <w:rPr>
          <w:rFonts w:hint="eastAsia"/>
          <w:sz w:val="24"/>
        </w:rPr>
        <w:t>　　⑤原則として多面的機能支払交付金事業や中山間地域直接支払交付金事業の対象となっている農地</w:t>
      </w:r>
    </w:p>
    <w:p>
      <w:pPr>
        <w:pStyle w:val="0"/>
        <w:ind w:left="720" w:hanging="720" w:hangingChars="300"/>
        <w:jc w:val="left"/>
        <w:rPr>
          <w:rFonts w:hint="default"/>
          <w:sz w:val="24"/>
        </w:rPr>
      </w:pPr>
      <w:r>
        <w:rPr>
          <w:rFonts w:hint="eastAsia"/>
          <w:sz w:val="24"/>
        </w:rPr>
        <w:t>　　⑥地域等が取り組む集団的営農活動に参加している農地</w:t>
      </w:r>
    </w:p>
    <w:p>
      <w:pPr>
        <w:pStyle w:val="0"/>
        <w:ind w:left="720" w:hanging="720" w:hangingChars="300"/>
        <w:jc w:val="left"/>
        <w:rPr>
          <w:rFonts w:hint="default"/>
          <w:sz w:val="24"/>
        </w:rPr>
      </w:pPr>
    </w:p>
    <w:p>
      <w:pPr>
        <w:pStyle w:val="0"/>
        <w:ind w:left="720" w:hanging="720" w:hangingChars="300"/>
        <w:jc w:val="left"/>
        <w:rPr>
          <w:rFonts w:hint="default"/>
          <w:sz w:val="24"/>
        </w:rPr>
      </w:pPr>
      <w:r>
        <w:rPr>
          <w:rFonts w:hint="eastAsia"/>
          <w:sz w:val="24"/>
        </w:rPr>
        <w:t>【注意事項】</w:t>
      </w:r>
    </w:p>
    <w:p>
      <w:pPr>
        <w:pStyle w:val="0"/>
        <w:ind w:left="720" w:hanging="720" w:hangingChars="300"/>
        <w:jc w:val="left"/>
        <w:rPr>
          <w:rFonts w:hint="default"/>
          <w:sz w:val="24"/>
        </w:rPr>
      </w:pPr>
      <w:r>
        <w:rPr>
          <w:rFonts w:hint="eastAsia"/>
          <w:sz w:val="24"/>
        </w:rPr>
        <w:t>　・当該農地の農地法第３条第１項の許可申請が許可され、権利が移動となった後に</w:t>
      </w:r>
    </w:p>
    <w:p>
      <w:pPr>
        <w:pStyle w:val="0"/>
        <w:ind w:left="690" w:leftChars="100" w:hanging="480" w:hangingChars="200"/>
        <w:jc w:val="left"/>
        <w:rPr>
          <w:rFonts w:hint="default"/>
          <w:sz w:val="24"/>
        </w:rPr>
      </w:pPr>
      <w:r>
        <w:rPr>
          <w:rFonts w:hint="eastAsia"/>
          <w:sz w:val="24"/>
        </w:rPr>
        <w:t>おいては当該農地の別段の面積指定は解除する。</w:t>
      </w:r>
    </w:p>
    <w:p>
      <w:pPr>
        <w:pStyle w:val="0"/>
        <w:widowControl w:val="1"/>
        <w:jc w:val="left"/>
        <w:rPr>
          <w:rFonts w:hint="default"/>
          <w:sz w:val="24"/>
        </w:rPr>
      </w:pPr>
    </w:p>
    <w:sectPr>
      <w:head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様式第</w:t>
    </w:r>
    <w:r>
      <w:rPr>
        <w:rFonts w:hint="eastAsia"/>
      </w:rPr>
      <w:t>1</w:t>
    </w:r>
    <w:r>
      <w:rPr>
        <w:rFonts w:hint="eastAsia"/>
      </w:rPr>
      <w:t>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0</Words>
  <Characters>609</Characters>
  <Application>JUST Note</Application>
  <Lines>202</Lines>
  <Paragraphs>36</Paragraphs>
  <CharactersWithSpaces>817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2022-05-02T06:04:27Z</cp:lastPrinted>
  <dcterms:created xsi:type="dcterms:W3CDTF">2018-03-15T05:58:00Z</dcterms:created>
  <dcterms:modified xsi:type="dcterms:W3CDTF">2022-05-02T06:04:23Z</dcterms:modified>
  <cp:revision>2</cp:revision>
</cp:coreProperties>
</file>