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2" behindDoc="0" locked="0" layoutInCell="1" hidden="0" allowOverlap="1">
                <wp:simplePos x="0" y="0"/>
                <wp:positionH relativeFrom="margin">
                  <wp:posOffset>9525</wp:posOffset>
                </wp:positionH>
                <wp:positionV relativeFrom="paragraph">
                  <wp:posOffset>-2540</wp:posOffset>
                </wp:positionV>
                <wp:extent cx="5553075" cy="1009650"/>
                <wp:effectExtent l="635" t="635" r="29845" b="1079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2pt;mso-position-vertical-relative:text;mso-position-horizontal-relative:margin;v-text-anchor:top;position:absolute;height:79.5pt;mso-wrap-distance-top:0pt;width:437.25pt;mso-wrap-distance-left:9pt;margin-left:0.7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第４号の規定による認定申請書</w:t>
            </w:r>
          </w:p>
          <w:p>
            <w:pPr>
              <w:pStyle w:val="0"/>
              <w:suppressAutoHyphens w:val="1"/>
              <w:kinsoku w:val="0"/>
              <w:wordWrap w:val="0"/>
              <w:overflowPunct w:val="0"/>
              <w:autoSpaceDE w:val="0"/>
              <w:autoSpaceDN w:val="0"/>
              <w:adjustRightInd w:val="0"/>
              <w:spacing w:line="274" w:lineRule="atLeast"/>
              <w:ind w:left="1050" w:leftChars="5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五所川原市長　殿</w:t>
            </w:r>
          </w:p>
          <w:p>
            <w:pPr>
              <w:pStyle w:val="0"/>
              <w:suppressAutoHyphens w:val="1"/>
              <w:kinsoku w:val="0"/>
              <w:wordWrap w:val="0"/>
              <w:overflowPunct w:val="0"/>
              <w:autoSpaceDE w:val="0"/>
              <w:autoSpaceDN w:val="0"/>
              <w:adjustRightInd w:val="0"/>
              <w:spacing w:line="240" w:lineRule="exact"/>
              <w:ind w:left="840" w:leftChars="0" w:right="0" w:rightChars="0" w:firstLine="420" w:firstLineChars="2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left="630" w:leftChars="300" w:right="0" w:rightChars="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left="630" w:leftChars="300" w:right="0" w:rightChars="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sz w:val="18"/>
                <w:u w:val="single" w:color="000000"/>
              </w:rPr>
              <w:t>印</w:t>
            </w:r>
            <w:bookmarkStart w:id="0" w:name="_GoBack"/>
            <w:bookmarkEnd w:id="0"/>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五　商　発　第　　　号</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（注）本認定書の有効期間：発行日を含む</w:t>
      </w:r>
      <w:r>
        <w:rPr>
          <w:rFonts w:hint="eastAsia" w:ascii="ＭＳ ゴシック" w:hAnsi="ＭＳ ゴシック" w:eastAsia="ＭＳ ゴシック"/>
          <w:color w:val="000000"/>
          <w:kern w:val="0"/>
        </w:rPr>
        <w:t>30</w:t>
      </w:r>
      <w:r>
        <w:rPr>
          <w:rFonts w:hint="eastAsia" w:ascii="ＭＳ ゴシック" w:hAnsi="ＭＳ ゴシック" w:eastAsia="ＭＳ ゴシック"/>
          <w:color w:val="000000"/>
          <w:kern w:val="0"/>
        </w:rPr>
        <w:t>日間です。</w:t>
      </w:r>
    </w:p>
    <w:p>
      <w:pPr>
        <w:pStyle w:val="0"/>
        <w:suppressAutoHyphens w:val="1"/>
        <w:wordWrap w:val="0"/>
        <w:spacing w:line="260" w:lineRule="exact"/>
        <w:ind w:left="420" w:hanging="420" w:hangingChars="2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五所川原市長　佐々木　孝昌　　</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4</Words>
  <Characters>688</Characters>
  <Application>JUST Note</Application>
  <Lines>65</Lines>
  <Paragraphs>45</Paragraphs>
  <Company>経済産業省</Company>
  <CharactersWithSpaces>1226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user</cp:lastModifiedBy>
  <cp:lastPrinted>2020-03-14T02:24:00Z</cp:lastPrinted>
  <dcterms:created xsi:type="dcterms:W3CDTF">2023-08-28T04:24:00Z</dcterms:created>
  <dcterms:modified xsi:type="dcterms:W3CDTF">2023-09-21T08:57:33Z</dcterms:modified>
  <cp:revision>7</cp:revision>
</cp:coreProperties>
</file>